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4FDB1" w14:textId="443E850A" w:rsidR="008C1DE9" w:rsidRPr="002B7330" w:rsidRDefault="008C1DE9" w:rsidP="00110946">
      <w:pPr>
        <w:spacing w:after="0" w:line="240" w:lineRule="auto"/>
        <w:rPr>
          <w:rFonts w:ascii="Verdana" w:eastAsia="Times New Roman" w:hAnsi="Verdana"/>
          <w:i/>
          <w:iCs/>
          <w:sz w:val="24"/>
          <w:szCs w:val="24"/>
          <w:lang w:val="es-ES_tradnl" w:eastAsia="es-ES"/>
        </w:rPr>
      </w:pPr>
      <w:r w:rsidRPr="002B7330">
        <w:rPr>
          <w:rFonts w:ascii="Verdana" w:eastAsia="Times New Roman" w:hAnsi="Verdana" w:cs="Arial"/>
          <w:sz w:val="24"/>
          <w:szCs w:val="24"/>
          <w:lang w:val="es-ES_tradnl" w:eastAsia="es-ES"/>
        </w:rPr>
        <w:t xml:space="preserve">Bogotá, </w:t>
      </w:r>
      <w:r w:rsidRPr="00FC490A">
        <w:rPr>
          <w:rFonts w:ascii="Verdana" w:eastAsia="Times New Roman" w:hAnsi="Verdana"/>
          <w:sz w:val="24"/>
          <w:szCs w:val="24"/>
          <w:lang w:val="es-ES_tradnl" w:eastAsia="es-ES"/>
        </w:rPr>
        <w:t xml:space="preserve">D. C. </w:t>
      </w:r>
      <w:r w:rsidR="00FC490A" w:rsidRPr="00FC490A">
        <w:rPr>
          <w:rFonts w:ascii="Verdana" w:eastAsia="Times New Roman" w:hAnsi="Verdana"/>
          <w:sz w:val="24"/>
          <w:szCs w:val="24"/>
          <w:lang w:val="es-ES_tradnl" w:eastAsia="es-ES"/>
        </w:rPr>
        <w:t>febrero de 2026</w:t>
      </w:r>
    </w:p>
    <w:p w14:paraId="5191287F" w14:textId="171B9B9B" w:rsidR="008C1DE9" w:rsidRDefault="008C1DE9" w:rsidP="008C1DE9">
      <w:pPr>
        <w:spacing w:after="0" w:line="240" w:lineRule="auto"/>
        <w:rPr>
          <w:rFonts w:ascii="Verdana" w:eastAsia="Times New Roman" w:hAnsi="Verdana" w:cs="Arial"/>
          <w:sz w:val="24"/>
          <w:szCs w:val="24"/>
          <w:lang w:val="es-ES_tradnl" w:eastAsia="es-ES"/>
        </w:rPr>
      </w:pPr>
    </w:p>
    <w:p w14:paraId="192D3A8A" w14:textId="77DA1617" w:rsidR="00110946" w:rsidRDefault="00110946" w:rsidP="008C1DE9">
      <w:pPr>
        <w:spacing w:after="0" w:line="240" w:lineRule="auto"/>
        <w:rPr>
          <w:rFonts w:ascii="Verdana" w:eastAsia="Times New Roman" w:hAnsi="Verdana" w:cs="Arial"/>
          <w:sz w:val="24"/>
          <w:szCs w:val="24"/>
          <w:lang w:val="es-ES_tradnl" w:eastAsia="es-ES"/>
        </w:rPr>
      </w:pPr>
    </w:p>
    <w:p w14:paraId="48CB6FF8" w14:textId="35D28EE1" w:rsidR="008C1DE9" w:rsidRPr="002B7330" w:rsidRDefault="003474A6" w:rsidP="008C1DE9">
      <w:pPr>
        <w:spacing w:after="0" w:line="240" w:lineRule="auto"/>
        <w:rPr>
          <w:rFonts w:ascii="Verdana" w:eastAsia="Times New Roman" w:hAnsi="Verdana" w:cs="Arial"/>
          <w:sz w:val="24"/>
          <w:szCs w:val="24"/>
          <w:lang w:val="es-ES_tradnl" w:eastAsia="es-ES"/>
        </w:rPr>
      </w:pPr>
      <w:r w:rsidRPr="002B7330">
        <w:rPr>
          <w:rFonts w:ascii="Verdana" w:eastAsia="Times New Roman" w:hAnsi="Verdana" w:cs="Arial"/>
          <w:sz w:val="24"/>
          <w:szCs w:val="24"/>
          <w:lang w:val="es-ES_tradnl" w:eastAsia="es-ES"/>
        </w:rPr>
        <w:t>Doctor</w:t>
      </w:r>
      <w:r w:rsidR="002539B0">
        <w:rPr>
          <w:rFonts w:ascii="Verdana" w:eastAsia="Times New Roman" w:hAnsi="Verdana" w:cs="Arial"/>
          <w:sz w:val="24"/>
          <w:szCs w:val="24"/>
          <w:lang w:val="es-ES_tradnl" w:eastAsia="es-ES"/>
        </w:rPr>
        <w:t>a</w:t>
      </w:r>
    </w:p>
    <w:p w14:paraId="00D48863" w14:textId="3B759F4C" w:rsidR="002539B0" w:rsidRPr="002539B0" w:rsidRDefault="002539B0" w:rsidP="008C1DE9">
      <w:pPr>
        <w:spacing w:after="0" w:line="240" w:lineRule="auto"/>
        <w:rPr>
          <w:rFonts w:ascii="Verdana" w:eastAsia="Times New Roman" w:hAnsi="Verdana"/>
          <w:b/>
          <w:sz w:val="24"/>
          <w:szCs w:val="24"/>
          <w:lang w:val="es-ES_tradnl" w:eastAsia="es-ES"/>
        </w:rPr>
      </w:pPr>
      <w:r w:rsidRPr="002539B0">
        <w:rPr>
          <w:rFonts w:ascii="Verdana" w:eastAsia="Times New Roman" w:hAnsi="Verdana"/>
          <w:b/>
          <w:sz w:val="24"/>
          <w:szCs w:val="24"/>
          <w:lang w:val="es-ES_tradnl" w:eastAsia="es-ES"/>
        </w:rPr>
        <w:t>SCHALMA DIAZ</w:t>
      </w:r>
      <w:r>
        <w:rPr>
          <w:rFonts w:ascii="Verdana" w:eastAsia="Times New Roman" w:hAnsi="Verdana"/>
          <w:b/>
          <w:sz w:val="24"/>
          <w:szCs w:val="24"/>
          <w:lang w:val="es-ES_tradnl" w:eastAsia="es-ES"/>
        </w:rPr>
        <w:t>-</w:t>
      </w:r>
      <w:r w:rsidRPr="002539B0">
        <w:rPr>
          <w:rFonts w:ascii="Verdana" w:eastAsia="Times New Roman" w:hAnsi="Verdana"/>
          <w:b/>
          <w:sz w:val="24"/>
          <w:szCs w:val="24"/>
          <w:lang w:val="es-ES_tradnl" w:eastAsia="es-ES"/>
        </w:rPr>
        <w:t>GRANADOS</w:t>
      </w:r>
    </w:p>
    <w:p w14:paraId="31B2D077" w14:textId="3EE20B33" w:rsidR="002539B0" w:rsidRPr="002539B0" w:rsidRDefault="002539B0" w:rsidP="008C1DE9">
      <w:pPr>
        <w:spacing w:after="0" w:line="240" w:lineRule="auto"/>
        <w:rPr>
          <w:rFonts w:ascii="Verdana" w:eastAsia="Times New Roman" w:hAnsi="Verdana"/>
          <w:sz w:val="24"/>
          <w:szCs w:val="24"/>
          <w:lang w:val="es-ES_tradnl" w:eastAsia="es-ES"/>
        </w:rPr>
      </w:pPr>
      <w:r w:rsidRPr="002539B0">
        <w:rPr>
          <w:rFonts w:ascii="Verdana" w:eastAsia="Times New Roman" w:hAnsi="Verdana"/>
          <w:sz w:val="24"/>
          <w:szCs w:val="24"/>
          <w:lang w:val="es-ES_tradnl" w:eastAsia="es-ES"/>
        </w:rPr>
        <w:t>Vicepresidenta de Articulación público-privada</w:t>
      </w:r>
    </w:p>
    <w:p w14:paraId="0AD4A502" w14:textId="158BDD3B" w:rsidR="002539B0" w:rsidRPr="002539B0" w:rsidRDefault="002539B0" w:rsidP="008C1DE9">
      <w:pPr>
        <w:spacing w:after="0" w:line="240" w:lineRule="auto"/>
        <w:rPr>
          <w:rFonts w:ascii="Verdana" w:eastAsia="Times New Roman" w:hAnsi="Verdana"/>
          <w:sz w:val="24"/>
          <w:szCs w:val="24"/>
          <w:lang w:val="es-ES_tradnl" w:eastAsia="es-ES"/>
        </w:rPr>
      </w:pPr>
      <w:r w:rsidRPr="002539B0">
        <w:rPr>
          <w:rFonts w:ascii="Verdana" w:eastAsia="Times New Roman" w:hAnsi="Verdana"/>
          <w:sz w:val="24"/>
          <w:szCs w:val="24"/>
          <w:lang w:val="es-ES_tradnl" w:eastAsia="es-ES"/>
        </w:rPr>
        <w:t>CÁMARA DE COMERCIO DE BOGOTÁ</w:t>
      </w:r>
    </w:p>
    <w:p w14:paraId="4487DBF8" w14:textId="6F8B579D" w:rsidR="002539B0" w:rsidRPr="002539B0" w:rsidRDefault="002539B0" w:rsidP="008C1DE9">
      <w:pPr>
        <w:spacing w:after="0" w:line="240" w:lineRule="auto"/>
        <w:rPr>
          <w:sz w:val="28"/>
        </w:rPr>
      </w:pPr>
      <w:hyperlink r:id="rId7" w:history="1">
        <w:r w:rsidRPr="002539B0">
          <w:rPr>
            <w:rStyle w:val="Hipervnculo"/>
            <w:sz w:val="28"/>
          </w:rPr>
          <w:t>schalma.diazgranados@ccb.org.co</w:t>
        </w:r>
      </w:hyperlink>
    </w:p>
    <w:p w14:paraId="456191F7" w14:textId="470A650F" w:rsidR="008C1DE9" w:rsidRPr="002B7330" w:rsidRDefault="002539B0" w:rsidP="008C1DE9">
      <w:pPr>
        <w:spacing w:after="0" w:line="240" w:lineRule="auto"/>
        <w:rPr>
          <w:rFonts w:ascii="Verdana" w:eastAsia="Times New Roman" w:hAnsi="Verdana" w:cs="Arial"/>
          <w:sz w:val="24"/>
          <w:szCs w:val="24"/>
          <w:lang w:val="es-ES_tradnl" w:eastAsia="es-ES"/>
        </w:rPr>
      </w:pPr>
      <w:r>
        <w:rPr>
          <w:rFonts w:ascii="Verdana" w:eastAsia="Times New Roman" w:hAnsi="Verdana" w:cs="Arial"/>
          <w:sz w:val="24"/>
          <w:szCs w:val="24"/>
          <w:lang w:val="es-ES_tradnl" w:eastAsia="es-ES"/>
        </w:rPr>
        <w:t>Bogotá, D.C.</w:t>
      </w:r>
    </w:p>
    <w:p w14:paraId="63CB4E6A" w14:textId="77777777" w:rsidR="003A3319" w:rsidRPr="002B7330" w:rsidRDefault="003A3319" w:rsidP="008C1DE9">
      <w:pPr>
        <w:spacing w:after="0" w:line="240" w:lineRule="auto"/>
        <w:rPr>
          <w:rFonts w:ascii="Verdana" w:eastAsia="Times New Roman" w:hAnsi="Verdana"/>
          <w:sz w:val="24"/>
          <w:szCs w:val="24"/>
          <w:lang w:val="es-ES_tradnl" w:eastAsia="es-ES"/>
        </w:rPr>
      </w:pPr>
    </w:p>
    <w:p w14:paraId="12552A7B" w14:textId="632551F7" w:rsidR="008C1DE9" w:rsidRPr="002B7330" w:rsidRDefault="008C1DE9" w:rsidP="00750E40">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Asunto:</w:t>
      </w:r>
      <w:r w:rsidR="003474A6" w:rsidRPr="002B7330">
        <w:rPr>
          <w:rFonts w:ascii="Verdana" w:eastAsia="Times New Roman" w:hAnsi="Verdana"/>
          <w:sz w:val="24"/>
          <w:szCs w:val="24"/>
          <w:lang w:val="es-ES_tradnl" w:eastAsia="es-ES"/>
        </w:rPr>
        <w:t xml:space="preserve"> Respuesta comentarios recibidos sobre el proyecto de resolución “Por medio de la cual se adopta la zonificación ambiental en trescientos ochenta y cinco (385) mu</w:t>
      </w:r>
      <w:bookmarkStart w:id="0" w:name="_GoBack"/>
      <w:bookmarkEnd w:id="0"/>
      <w:r w:rsidR="003474A6" w:rsidRPr="002B7330">
        <w:rPr>
          <w:rFonts w:ascii="Verdana" w:eastAsia="Times New Roman" w:hAnsi="Verdana"/>
          <w:sz w:val="24"/>
          <w:szCs w:val="24"/>
          <w:lang w:val="es-ES_tradnl" w:eastAsia="es-ES"/>
        </w:rPr>
        <w:t>nicipios a partir de la implementación de la metodología usada para el Plan de Zonificación Ambiental del punto 1.1.10 del Acuerdo Final para la Paz”.</w:t>
      </w:r>
    </w:p>
    <w:p w14:paraId="6E021B41" w14:textId="77777777" w:rsidR="003A3319" w:rsidRPr="002B7330" w:rsidRDefault="003A3319" w:rsidP="008C1DE9">
      <w:pPr>
        <w:spacing w:after="0" w:line="240" w:lineRule="auto"/>
        <w:rPr>
          <w:rFonts w:ascii="Verdana" w:eastAsia="Times New Roman" w:hAnsi="Verdana"/>
          <w:sz w:val="24"/>
          <w:szCs w:val="24"/>
          <w:lang w:val="es-ES_tradnl" w:eastAsia="es-ES"/>
        </w:rPr>
      </w:pPr>
    </w:p>
    <w:p w14:paraId="6FE8DAFE" w14:textId="0D74A029" w:rsidR="00CD4526" w:rsidRPr="002B7330" w:rsidRDefault="003474A6" w:rsidP="00CD4526">
      <w:pPr>
        <w:spacing w:after="0" w:line="240" w:lineRule="auto"/>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Respetad</w:t>
      </w:r>
      <w:r w:rsidR="002539B0">
        <w:rPr>
          <w:rFonts w:ascii="Verdana" w:eastAsia="Times New Roman" w:hAnsi="Verdana"/>
          <w:sz w:val="24"/>
          <w:szCs w:val="24"/>
          <w:lang w:val="es-ES_tradnl" w:eastAsia="es-ES"/>
        </w:rPr>
        <w:t>a</w:t>
      </w:r>
      <w:r w:rsidRPr="002B7330">
        <w:rPr>
          <w:rFonts w:ascii="Verdana" w:eastAsia="Times New Roman" w:hAnsi="Verdana"/>
          <w:sz w:val="24"/>
          <w:szCs w:val="24"/>
          <w:lang w:val="es-ES_tradnl" w:eastAsia="es-ES"/>
        </w:rPr>
        <w:t xml:space="preserve"> señor</w:t>
      </w:r>
      <w:r w:rsidR="002539B0">
        <w:rPr>
          <w:rFonts w:ascii="Verdana" w:eastAsia="Times New Roman" w:hAnsi="Verdana"/>
          <w:sz w:val="24"/>
          <w:szCs w:val="24"/>
          <w:lang w:val="es-ES_tradnl" w:eastAsia="es-ES"/>
        </w:rPr>
        <w:t>a</w:t>
      </w:r>
      <w:r w:rsidRPr="002B7330">
        <w:rPr>
          <w:rFonts w:ascii="Verdana" w:eastAsia="Times New Roman" w:hAnsi="Verdana"/>
          <w:sz w:val="24"/>
          <w:szCs w:val="24"/>
          <w:lang w:val="es-ES_tradnl" w:eastAsia="es-ES"/>
        </w:rPr>
        <w:t xml:space="preserve"> </w:t>
      </w:r>
      <w:r w:rsidR="002539B0" w:rsidRPr="00665873">
        <w:rPr>
          <w:rFonts w:ascii="Verdana" w:eastAsia="Times New Roman" w:hAnsi="Verdana"/>
          <w:sz w:val="24"/>
          <w:szCs w:val="24"/>
          <w:lang w:val="es-ES_tradnl" w:eastAsia="es-ES"/>
        </w:rPr>
        <w:t>D</w:t>
      </w:r>
      <w:r w:rsidR="002539B0">
        <w:rPr>
          <w:rFonts w:ascii="Verdana" w:eastAsia="Times New Roman" w:hAnsi="Verdana"/>
          <w:sz w:val="24"/>
          <w:szCs w:val="24"/>
          <w:lang w:val="es-ES_tradnl" w:eastAsia="es-ES"/>
        </w:rPr>
        <w:t>íaz-Granados</w:t>
      </w:r>
      <w:r w:rsidRPr="002B7330">
        <w:rPr>
          <w:rFonts w:ascii="Verdana" w:eastAsia="Times New Roman" w:hAnsi="Verdana"/>
          <w:sz w:val="24"/>
          <w:szCs w:val="24"/>
          <w:lang w:val="es-ES_tradnl" w:eastAsia="es-ES"/>
        </w:rPr>
        <w:t>,</w:t>
      </w:r>
    </w:p>
    <w:p w14:paraId="220A704A" w14:textId="6AAC1E31" w:rsidR="000F4B11" w:rsidRPr="002B7330" w:rsidRDefault="000F4B11" w:rsidP="000F4B11">
      <w:pPr>
        <w:spacing w:before="100" w:beforeAutospacing="1" w:after="100" w:afterAutospacing="1" w:line="240" w:lineRule="auto"/>
        <w:jc w:val="both"/>
        <w:rPr>
          <w:rFonts w:ascii="Verdana" w:hAnsi="Verdana"/>
          <w:sz w:val="24"/>
          <w:szCs w:val="24"/>
        </w:rPr>
      </w:pPr>
      <w:r w:rsidRPr="002B7330">
        <w:rPr>
          <w:rFonts w:ascii="Verdana" w:hAnsi="Verdana"/>
          <w:sz w:val="24"/>
          <w:szCs w:val="24"/>
        </w:rPr>
        <w:t>En atención a las observaciones, comentarios y aportes formulados</w:t>
      </w:r>
      <w:r w:rsidR="00786260" w:rsidRPr="002B7330">
        <w:rPr>
          <w:rFonts w:ascii="Verdana" w:hAnsi="Verdana"/>
          <w:sz w:val="24"/>
          <w:szCs w:val="24"/>
        </w:rPr>
        <w:t xml:space="preserve"> por ustedes</w:t>
      </w:r>
      <w:r w:rsidRPr="002B7330">
        <w:rPr>
          <w:rFonts w:ascii="Verdana" w:hAnsi="Verdana"/>
          <w:sz w:val="24"/>
          <w:szCs w:val="24"/>
        </w:rPr>
        <w:t xml:space="preserve"> al proyecto de resolución “Por medio de la cual se adopta la zonificación ambiental indicativa en trescientos ochenta y cinco (385) municipios a partir de la implementación de la metodología usada para el Plan de Zonificación Ambiental del punto 1.1.10 del Acuerdo Final de Paz”, el Ministerio de Ambiente y Desarrollo Sostenible procede a dar respuesta a su</w:t>
      </w:r>
      <w:r w:rsidR="00A315F2">
        <w:rPr>
          <w:rFonts w:ascii="Verdana" w:hAnsi="Verdana"/>
          <w:sz w:val="24"/>
          <w:szCs w:val="24"/>
        </w:rPr>
        <w:t xml:space="preserve"> observación</w:t>
      </w:r>
      <w:r w:rsidRPr="002B7330">
        <w:rPr>
          <w:rFonts w:ascii="Verdana" w:hAnsi="Verdana"/>
          <w:sz w:val="24"/>
          <w:szCs w:val="24"/>
        </w:rPr>
        <w:t>, no sin antes presentar las siguientes consideraciones generales relacionadas con el alcance, la naturaleza jurídica, la utilidad técnica y los efectos de la zonificación ambiental, las cuales resultan fundamentales para garantizar la comprensión adecuada del instrumento y su correcta implementación en el marco de la planificación y del ordenamiento territorial y ambiental del país.</w:t>
      </w:r>
    </w:p>
    <w:p w14:paraId="058289DF"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hAnsi="Verdana"/>
          <w:sz w:val="24"/>
          <w:szCs w:val="24"/>
        </w:rPr>
        <w:t xml:space="preserve">En este contexto, es necesario precisar que la metodología de la </w:t>
      </w:r>
      <w:r w:rsidRPr="002B7330">
        <w:rPr>
          <w:rFonts w:ascii="Verdana" w:eastAsia="Times New Roman" w:hAnsi="Verdana" w:cs="Times New Roman"/>
          <w:sz w:val="24"/>
          <w:szCs w:val="24"/>
          <w:lang w:val="es-ES"/>
        </w:rPr>
        <w:t xml:space="preserve">zonificación ambiental  indicativa a la que se hace referencia, surge como un instrumento de planificación ambiental y territorial en el marco de la implementación del </w:t>
      </w:r>
      <w:r w:rsidRPr="002B7330">
        <w:rPr>
          <w:rFonts w:ascii="Verdana" w:eastAsia="Times New Roman" w:hAnsi="Verdana" w:cs="Times New Roman"/>
          <w:bCs/>
          <w:sz w:val="24"/>
          <w:szCs w:val="24"/>
          <w:lang w:val="es-ES"/>
        </w:rPr>
        <w:t>Acuerdo Final para la Terminación del Conflicto y la Construcción de una Paz Estable y Duradera</w:t>
      </w:r>
      <w:r w:rsidRPr="002B7330">
        <w:rPr>
          <w:rFonts w:ascii="Verdana" w:eastAsia="Times New Roman" w:hAnsi="Verdana" w:cs="Times New Roman"/>
          <w:sz w:val="24"/>
          <w:szCs w:val="24"/>
          <w:lang w:val="es-ES"/>
        </w:rPr>
        <w:t xml:space="preserve">, particularmente del punto 1.1.10 de la Reforma Rural Integral, el cual estableció la necesidad de delimitar la frontera agrícola, proteger las áreas de especial interés ambiental y orientar el desarrollo rural bajo criterios de sostenibilidad ambiental y enfoque territorial. En desarrollo de este mandato, este ministerio definió una metodología de zonificación ambiental indicativa </w:t>
      </w:r>
      <w:r w:rsidRPr="002B7330">
        <w:rPr>
          <w:rFonts w:ascii="Verdana" w:eastAsia="Times New Roman" w:hAnsi="Verdana" w:cs="Times New Roman"/>
          <w:sz w:val="24"/>
          <w:szCs w:val="24"/>
          <w:lang w:val="es-ES"/>
        </w:rPr>
        <w:lastRenderedPageBreak/>
        <w:t xml:space="preserve">que permite identificar, a partir de información biofísica, </w:t>
      </w:r>
      <w:proofErr w:type="spellStart"/>
      <w:r w:rsidRPr="002B7330">
        <w:rPr>
          <w:rFonts w:ascii="Verdana" w:eastAsia="Times New Roman" w:hAnsi="Verdana" w:cs="Times New Roman"/>
          <w:sz w:val="24"/>
          <w:szCs w:val="24"/>
          <w:lang w:val="es-ES"/>
        </w:rPr>
        <w:t>socioambiental</w:t>
      </w:r>
      <w:proofErr w:type="spellEnd"/>
      <w:r w:rsidRPr="002B7330">
        <w:rPr>
          <w:rFonts w:ascii="Verdana" w:eastAsia="Times New Roman" w:hAnsi="Verdana" w:cs="Times New Roman"/>
          <w:sz w:val="24"/>
          <w:szCs w:val="24"/>
          <w:lang w:val="es-ES"/>
        </w:rPr>
        <w:t xml:space="preserve"> y de servicios </w:t>
      </w:r>
      <w:proofErr w:type="spellStart"/>
      <w:r w:rsidRPr="002B7330">
        <w:rPr>
          <w:rFonts w:ascii="Verdana" w:eastAsia="Times New Roman" w:hAnsi="Verdana" w:cs="Times New Roman"/>
          <w:sz w:val="24"/>
          <w:szCs w:val="24"/>
          <w:lang w:val="es-ES"/>
        </w:rPr>
        <w:t>ecosistémicos</w:t>
      </w:r>
      <w:proofErr w:type="spellEnd"/>
      <w:r w:rsidRPr="002B7330">
        <w:rPr>
          <w:rFonts w:ascii="Verdana" w:eastAsia="Times New Roman" w:hAnsi="Verdana" w:cs="Times New Roman"/>
          <w:sz w:val="24"/>
          <w:szCs w:val="24"/>
          <w:lang w:val="es-ES"/>
        </w:rPr>
        <w:t xml:space="preserve">, áreas con diferentes vocaciones ambientales, presiones y niveles de transformación, con el fin de aportar criterios técnicos e insumos para la </w:t>
      </w:r>
      <w:r w:rsidRPr="002B7330">
        <w:rPr>
          <w:rFonts w:ascii="Verdana" w:hAnsi="Verdana"/>
          <w:sz w:val="24"/>
          <w:szCs w:val="24"/>
        </w:rPr>
        <w:t xml:space="preserve">la planificación, el ordenamiento territorial, ambiental del país </w:t>
      </w:r>
      <w:r w:rsidRPr="002B7330">
        <w:rPr>
          <w:rFonts w:ascii="Verdana" w:eastAsia="Times New Roman" w:hAnsi="Verdana" w:cs="Times New Roman"/>
          <w:sz w:val="24"/>
          <w:szCs w:val="24"/>
          <w:lang w:val="es-ES"/>
        </w:rPr>
        <w:t>y la toma de decisiones en el territorio.</w:t>
      </w:r>
    </w:p>
    <w:p w14:paraId="7BEFF252"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En el marco de la implementación del Plan de Zonificación Ambiental (PZA) del punto 1.1.10 del Acuerdo Final de Paz, el Ministerio de Ambiente y Desarrollo Sostenible mediante la Resolución 1608 de 2021, adoptó la zonificación ambiental objeto de ese acuerdo, la cual se desarrolló en los 170 municipios priorizados PDET. En dicho ejercicio se definió un marco metodológico basado en la integración de información ambiental disponible, el análisis de funciones y servicios </w:t>
      </w:r>
      <w:proofErr w:type="spellStart"/>
      <w:r w:rsidRPr="002B7330">
        <w:rPr>
          <w:rFonts w:ascii="Verdana" w:eastAsia="Times New Roman" w:hAnsi="Verdana" w:cs="Times New Roman"/>
          <w:sz w:val="24"/>
          <w:szCs w:val="24"/>
          <w:lang w:val="es-ES"/>
        </w:rPr>
        <w:t>ecosistémicos</w:t>
      </w:r>
      <w:proofErr w:type="spellEnd"/>
      <w:r w:rsidRPr="002B7330">
        <w:rPr>
          <w:rFonts w:ascii="Verdana" w:eastAsia="Times New Roman" w:hAnsi="Verdana" w:cs="Times New Roman"/>
          <w:sz w:val="24"/>
          <w:szCs w:val="24"/>
          <w:lang w:val="es-ES"/>
        </w:rPr>
        <w:t>, la identificación de áreas de especial interés ambiental y la lectura de presiones territoriales</w:t>
      </w:r>
    </w:p>
    <w:p w14:paraId="3F302A7A" w14:textId="62809CCC" w:rsidR="000F4B11" w:rsidRPr="002B7330" w:rsidRDefault="000F4B11" w:rsidP="000F4B11">
      <w:pPr>
        <w:spacing w:before="100" w:beforeAutospacing="1" w:after="100" w:afterAutospacing="1" w:line="240" w:lineRule="auto"/>
        <w:jc w:val="both"/>
        <w:rPr>
          <w:rFonts w:ascii="Verdana" w:eastAsia="Times New Roman" w:hAnsi="Verdana" w:cs="Times New Roman"/>
          <w:b/>
          <w:bCs/>
          <w:sz w:val="24"/>
          <w:szCs w:val="24"/>
          <w:lang w:val="es-ES"/>
        </w:rPr>
      </w:pPr>
      <w:r w:rsidRPr="002B7330">
        <w:rPr>
          <w:rFonts w:ascii="Verdana" w:eastAsia="Times New Roman" w:hAnsi="Verdana" w:cs="Times New Roman"/>
          <w:sz w:val="24"/>
          <w:szCs w:val="24"/>
          <w:lang w:val="es-ES"/>
        </w:rPr>
        <w:t>En este sentido, la zonificación ambiental indicativa que se pretende adoptar</w:t>
      </w:r>
      <w:r w:rsidR="00786260" w:rsidRPr="002B7330">
        <w:rPr>
          <w:rFonts w:ascii="Verdana" w:eastAsia="Times New Roman" w:hAnsi="Verdana" w:cs="Times New Roman"/>
          <w:sz w:val="24"/>
          <w:szCs w:val="24"/>
          <w:lang w:val="es-ES"/>
        </w:rPr>
        <w:t xml:space="preserve"> mediante el acto administrativo en cuestión, </w:t>
      </w:r>
      <w:r w:rsidRPr="002B7330">
        <w:rPr>
          <w:rFonts w:ascii="Verdana" w:eastAsia="Times New Roman" w:hAnsi="Verdana" w:cs="Times New Roman"/>
          <w:sz w:val="24"/>
          <w:szCs w:val="24"/>
          <w:lang w:val="es-ES"/>
        </w:rPr>
        <w:t xml:space="preserve">se concibe como un ejercicio técnico de </w:t>
      </w:r>
      <w:r w:rsidRPr="002B7330">
        <w:rPr>
          <w:rFonts w:ascii="Verdana" w:eastAsia="Times New Roman" w:hAnsi="Verdana" w:cs="Times New Roman"/>
          <w:bCs/>
          <w:sz w:val="24"/>
          <w:szCs w:val="24"/>
          <w:lang w:val="es-ES"/>
        </w:rPr>
        <w:t>análisis e integración de información ambiental</w:t>
      </w:r>
      <w:r w:rsidRPr="002B7330">
        <w:rPr>
          <w:rFonts w:ascii="Verdana" w:eastAsia="Times New Roman" w:hAnsi="Verdana" w:cs="Times New Roman"/>
          <w:sz w:val="24"/>
          <w:szCs w:val="24"/>
          <w:lang w:val="es-ES"/>
        </w:rPr>
        <w:t xml:space="preserve">, que no tiene por objeto regular de manera directa el uso del suelo ni imponer restricciones jurídicas sobre las actividades existentes. Lo que se realiza es la </w:t>
      </w:r>
      <w:r w:rsidRPr="002B7330">
        <w:rPr>
          <w:rFonts w:ascii="Verdana" w:eastAsia="Times New Roman" w:hAnsi="Verdana" w:cs="Times New Roman"/>
          <w:b/>
          <w:sz w:val="24"/>
          <w:szCs w:val="24"/>
          <w:lang w:val="es-ES"/>
        </w:rPr>
        <w:t>extrapolación y sistematización de una metodología de zonificación ambiental</w:t>
      </w:r>
      <w:r w:rsidRPr="002B7330">
        <w:rPr>
          <w:rFonts w:ascii="Verdana" w:eastAsia="Times New Roman" w:hAnsi="Verdana" w:cs="Times New Roman"/>
          <w:bCs/>
          <w:sz w:val="24"/>
          <w:szCs w:val="24"/>
          <w:lang w:val="es-ES"/>
        </w:rPr>
        <w:t xml:space="preserve"> descrita previamente, </w:t>
      </w:r>
      <w:r w:rsidRPr="002B7330">
        <w:rPr>
          <w:rFonts w:ascii="Verdana" w:eastAsia="Times New Roman" w:hAnsi="Verdana" w:cs="Times New Roman"/>
          <w:sz w:val="24"/>
          <w:szCs w:val="24"/>
          <w:lang w:val="es-ES"/>
        </w:rPr>
        <w:t>que entrega información relevante y de carácter público, útil para los procesos de planificación y ordenamiento territorial y sectorial que adelantan las entidades del orden nacional, departamental y municipal, así como otros actores públicos y comunitarios. Se trata, por tanto, de información que está a disposición de las regiones y que busca fortalecer la toma de decisiones informadas, coherentes y articuladas con la realidad ambiental del territorio</w:t>
      </w:r>
      <w:r w:rsidRPr="002B7330">
        <w:rPr>
          <w:rFonts w:ascii="Verdana" w:eastAsia="Times New Roman" w:hAnsi="Verdana" w:cs="Times New Roman"/>
          <w:b/>
          <w:sz w:val="24"/>
          <w:szCs w:val="24"/>
          <w:lang w:val="es-ES"/>
        </w:rPr>
        <w:t xml:space="preserve">, </w:t>
      </w:r>
      <w:r w:rsidRPr="002B7330">
        <w:rPr>
          <w:rFonts w:ascii="Verdana" w:eastAsia="Times New Roman" w:hAnsi="Verdana" w:cs="Times New Roman"/>
          <w:sz w:val="24"/>
          <w:szCs w:val="24"/>
          <w:lang w:val="es-ES"/>
        </w:rPr>
        <w:t>la cual</w:t>
      </w:r>
      <w:r w:rsidRPr="002B7330">
        <w:rPr>
          <w:rFonts w:ascii="Verdana" w:eastAsia="Times New Roman" w:hAnsi="Verdana" w:cs="Times New Roman"/>
          <w:b/>
          <w:sz w:val="24"/>
          <w:szCs w:val="24"/>
          <w:lang w:val="es-ES"/>
        </w:rPr>
        <w:t xml:space="preserve"> </w:t>
      </w:r>
      <w:r w:rsidRPr="002B7330">
        <w:rPr>
          <w:rStyle w:val="Textoennegrita"/>
          <w:rFonts w:ascii="Verdana" w:hAnsi="Verdana"/>
          <w:b w:val="0"/>
          <w:bCs w:val="0"/>
          <w:sz w:val="24"/>
          <w:szCs w:val="24"/>
        </w:rPr>
        <w:t>puede ser desarrollada y ajustada según los intereses y necesidades de cada territorio.</w:t>
      </w:r>
    </w:p>
    <w:p w14:paraId="35DA595F" w14:textId="3F052870"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Precisamente por su naturaleza y alcance, la zonificación ambiental contenida en </w:t>
      </w:r>
      <w:r w:rsidR="00D84EE0" w:rsidRPr="002B7330">
        <w:rPr>
          <w:rFonts w:ascii="Verdana" w:eastAsia="Times New Roman" w:hAnsi="Verdana" w:cs="Times New Roman"/>
          <w:sz w:val="24"/>
          <w:szCs w:val="24"/>
          <w:lang w:val="es-ES"/>
        </w:rPr>
        <w:t xml:space="preserve">el acto administrativo propuesto </w:t>
      </w:r>
      <w:r w:rsidRPr="002B7330">
        <w:rPr>
          <w:rFonts w:ascii="Verdana" w:eastAsia="Times New Roman" w:hAnsi="Verdana" w:cs="Times New Roman"/>
          <w:sz w:val="24"/>
          <w:szCs w:val="24"/>
          <w:lang w:val="es-ES"/>
        </w:rPr>
        <w:t xml:space="preserve">es </w:t>
      </w:r>
      <w:r w:rsidRPr="002B7330">
        <w:rPr>
          <w:rFonts w:ascii="Verdana" w:eastAsia="Times New Roman" w:hAnsi="Verdana" w:cs="Times New Roman"/>
          <w:b/>
          <w:bCs/>
          <w:sz w:val="24"/>
          <w:szCs w:val="24"/>
          <w:lang w:val="es-ES"/>
        </w:rPr>
        <w:t>ESTRICTAMENTE INDICATIVA</w:t>
      </w:r>
      <w:r w:rsidRPr="002B7330">
        <w:rPr>
          <w:rFonts w:ascii="Verdana" w:eastAsia="Times New Roman" w:hAnsi="Verdana" w:cs="Times New Roman"/>
          <w:sz w:val="24"/>
          <w:szCs w:val="24"/>
          <w:lang w:val="es-ES"/>
        </w:rPr>
        <w:t xml:space="preserve">. Esto significa que </w:t>
      </w:r>
      <w:r w:rsidRPr="002B7330">
        <w:rPr>
          <w:rFonts w:ascii="Verdana" w:eastAsia="Times New Roman" w:hAnsi="Verdana" w:cs="Times New Roman"/>
          <w:bCs/>
          <w:sz w:val="24"/>
          <w:szCs w:val="24"/>
          <w:u w:val="single"/>
          <w:lang w:val="es-ES"/>
        </w:rPr>
        <w:t>no impone condiciones, no genera restricciones jurídicas, ni establece prohibiciones o autorizaciones directas</w:t>
      </w:r>
      <w:r w:rsidRPr="002B7330">
        <w:rPr>
          <w:rFonts w:ascii="Verdana" w:eastAsia="Times New Roman" w:hAnsi="Verdana" w:cs="Times New Roman"/>
          <w:sz w:val="24"/>
          <w:szCs w:val="24"/>
          <w:u w:val="single"/>
          <w:lang w:val="es-ES"/>
        </w:rPr>
        <w:t xml:space="preserve"> sobre el uso del suelo o sobre las actividades que actualmente se desarrollan en los territorios</w:t>
      </w:r>
      <w:r w:rsidRPr="002B7330">
        <w:rPr>
          <w:rFonts w:ascii="Verdana" w:eastAsia="Times New Roman" w:hAnsi="Verdana" w:cs="Times New Roman"/>
          <w:sz w:val="24"/>
          <w:szCs w:val="24"/>
          <w:lang w:val="es-ES"/>
        </w:rPr>
        <w:t xml:space="preserve">. </w:t>
      </w:r>
      <w:r w:rsidRPr="002B7330">
        <w:rPr>
          <w:rFonts w:ascii="Verdana" w:eastAsia="Times New Roman" w:hAnsi="Verdana" w:cs="Times New Roman"/>
          <w:sz w:val="24"/>
          <w:szCs w:val="24"/>
          <w:u w:val="single"/>
          <w:lang w:val="es-ES"/>
        </w:rPr>
        <w:t>La zonificación en cuestión no modifica los usos del suelo vigentes, no redefine actividades productivas existentes ni afecta situaciones jurídicas consolidadas o derechos adquiridos</w:t>
      </w:r>
      <w:r w:rsidRPr="002B7330">
        <w:rPr>
          <w:rFonts w:ascii="Verdana" w:eastAsia="Times New Roman" w:hAnsi="Verdana" w:cs="Times New Roman"/>
          <w:sz w:val="24"/>
          <w:szCs w:val="24"/>
          <w:lang w:val="es-ES"/>
        </w:rPr>
        <w:t xml:space="preserve">. </w:t>
      </w:r>
      <w:r w:rsidRPr="002B7330">
        <w:rPr>
          <w:rFonts w:ascii="Verdana" w:eastAsia="Times New Roman" w:hAnsi="Verdana" w:cs="Times New Roman"/>
          <w:b/>
          <w:sz w:val="24"/>
          <w:szCs w:val="24"/>
          <w:lang w:val="es-ES"/>
        </w:rPr>
        <w:t>SU FINALIDAD ES EXCLUSIVAMENTE INDICATIVA</w:t>
      </w:r>
      <w:r w:rsidRPr="002B7330">
        <w:rPr>
          <w:rFonts w:ascii="Verdana" w:eastAsia="Times New Roman" w:hAnsi="Verdana" w:cs="Times New Roman"/>
          <w:sz w:val="24"/>
          <w:szCs w:val="24"/>
          <w:lang w:val="es-ES"/>
        </w:rPr>
        <w:t xml:space="preserve">, en tanto </w:t>
      </w:r>
      <w:r w:rsidRPr="002B7330">
        <w:rPr>
          <w:rFonts w:ascii="Verdana" w:eastAsia="Times New Roman" w:hAnsi="Verdana" w:cs="Times New Roman"/>
          <w:sz w:val="24"/>
          <w:szCs w:val="24"/>
          <w:lang w:val="es-ES"/>
        </w:rPr>
        <w:lastRenderedPageBreak/>
        <w:t>proporciona criterios ambientales e insumos que pueden ser considerados por las autoridades competentes en el marco de sus decisiones, sin que ello implique efectos legales o normativos.</w:t>
      </w:r>
    </w:p>
    <w:p w14:paraId="5A3AE5CF" w14:textId="3875DD51"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A su vez, es importante precisar que esta zonificación </w:t>
      </w:r>
      <w:r w:rsidRPr="002B7330">
        <w:rPr>
          <w:rFonts w:ascii="Verdana" w:eastAsia="Times New Roman" w:hAnsi="Verdana" w:cs="Times New Roman"/>
          <w:bCs/>
          <w:sz w:val="24"/>
          <w:szCs w:val="24"/>
          <w:u w:val="single"/>
          <w:lang w:val="es-ES"/>
        </w:rPr>
        <w:t>no constituye determinantes ambientales en los términos de la Ley 388 de 1997</w:t>
      </w:r>
      <w:r w:rsidRPr="002B7330">
        <w:rPr>
          <w:rFonts w:ascii="Verdana" w:eastAsia="Times New Roman" w:hAnsi="Verdana" w:cs="Times New Roman"/>
          <w:sz w:val="24"/>
          <w:szCs w:val="24"/>
          <w:lang w:val="es-ES"/>
        </w:rPr>
        <w:t>, ni sustituye los instrumentos de ordenamiento territorial legalmente establecidos y no sustituye los instrumentos ambientales como los POMCA, PORH, rondas hídricas, planes de manejo de áreas protegidas, distritos de manejo y estrategias complementarias de conservación, entre otras.</w:t>
      </w:r>
      <w:r w:rsidR="00471049" w:rsidRPr="002B7330">
        <w:rPr>
          <w:rFonts w:ascii="Verdana" w:eastAsia="Times New Roman" w:hAnsi="Verdana" w:cs="Times New Roman"/>
          <w:sz w:val="24"/>
          <w:szCs w:val="24"/>
          <w:lang w:val="es-ES"/>
        </w:rPr>
        <w:t xml:space="preserve">  </w:t>
      </w:r>
      <w:r w:rsidRPr="002B7330">
        <w:rPr>
          <w:rFonts w:ascii="Verdana" w:eastAsia="Times New Roman" w:hAnsi="Verdana" w:cs="Times New Roman"/>
          <w:sz w:val="24"/>
          <w:szCs w:val="24"/>
          <w:lang w:val="es-ES"/>
        </w:rPr>
        <w:t xml:space="preserve">En este sentido, no se trata de normas de superior jerarquía que deban ser incorporadas obligatoriamente en los Planes de Ordenamiento Territorial, ni de disposiciones que limiten de manera directa la autonomía territorial. Por el contrario, la zonificación ambiental indicativa en comento, se configura como un </w:t>
      </w:r>
      <w:r w:rsidRPr="002B7330">
        <w:rPr>
          <w:rFonts w:ascii="Verdana" w:eastAsia="Times New Roman" w:hAnsi="Verdana" w:cs="Times New Roman"/>
          <w:bCs/>
          <w:sz w:val="24"/>
          <w:szCs w:val="24"/>
          <w:lang w:val="es-ES"/>
        </w:rPr>
        <w:t>insumo técnico complementario</w:t>
      </w:r>
      <w:r w:rsidRPr="002B7330">
        <w:rPr>
          <w:rFonts w:ascii="Verdana" w:eastAsia="Times New Roman" w:hAnsi="Verdana" w:cs="Times New Roman"/>
          <w:sz w:val="24"/>
          <w:szCs w:val="24"/>
          <w:lang w:val="es-ES"/>
        </w:rPr>
        <w:t>, que puede apoyar y enriquecer los procesos de formulación, revisión o ajuste de los POT, PBOT y EOT, así como otros instrumentos de planificación, siempre dentro del marco de las competencias propias de los municipios y departamentos.</w:t>
      </w:r>
    </w:p>
    <w:p w14:paraId="208F1B34"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Así mismo, el carácter indicativo de la presente zonificación ambiental indicativa, implica que </w:t>
      </w:r>
      <w:r w:rsidRPr="002B7330">
        <w:rPr>
          <w:rFonts w:ascii="Verdana" w:eastAsia="Times New Roman" w:hAnsi="Verdana" w:cs="Times New Roman"/>
          <w:bCs/>
          <w:sz w:val="24"/>
          <w:szCs w:val="24"/>
          <w:lang w:val="es-ES"/>
        </w:rPr>
        <w:t>no genera obligaciones legales para los particulares ni para las autoridades</w:t>
      </w:r>
      <w:r w:rsidRPr="002B7330">
        <w:rPr>
          <w:rFonts w:ascii="Verdana" w:eastAsia="Times New Roman" w:hAnsi="Verdana" w:cs="Times New Roman"/>
          <w:sz w:val="24"/>
          <w:szCs w:val="24"/>
          <w:lang w:val="es-ES"/>
        </w:rPr>
        <w:t xml:space="preserve">, ni reemplaza los procedimientos administrativos previstos en la normativa vigente. Los proyectos nuevos que eventualmente se pretendan desarrollar en el territorio deberán, en todo caso, </w:t>
      </w:r>
      <w:r w:rsidRPr="002B7330">
        <w:rPr>
          <w:rFonts w:ascii="Verdana" w:eastAsia="Times New Roman" w:hAnsi="Verdana" w:cs="Times New Roman"/>
          <w:bCs/>
          <w:sz w:val="24"/>
          <w:szCs w:val="24"/>
          <w:lang w:val="es-ES"/>
        </w:rPr>
        <w:t>sujetarse al ordenamiento jurídico existente</w:t>
      </w:r>
      <w:r w:rsidRPr="002B7330">
        <w:rPr>
          <w:rFonts w:ascii="Verdana" w:eastAsia="Times New Roman" w:hAnsi="Verdana" w:cs="Times New Roman"/>
          <w:sz w:val="24"/>
          <w:szCs w:val="24"/>
          <w:lang w:val="es-ES"/>
        </w:rPr>
        <w:t>, incluyendo la normatividad ambiental aplicable, los instrumentos de manejo y conservación de áreas protegidas, y los procedimientos de licenciamiento, permisos o autorizaciones ambientales que correspondan. La zonificación ambiental no sustituye ni anticipa dichas evaluaciones.</w:t>
      </w:r>
    </w:p>
    <w:p w14:paraId="2D136E09" w14:textId="3FA00546"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Desde esta perspectiva, la zonificación ambiental indicativa </w:t>
      </w:r>
      <w:r w:rsidR="007853E1" w:rsidRPr="002B7330">
        <w:rPr>
          <w:rFonts w:ascii="Verdana" w:eastAsia="Times New Roman" w:hAnsi="Verdana" w:cs="Times New Roman"/>
          <w:sz w:val="24"/>
          <w:szCs w:val="24"/>
          <w:lang w:val="es-ES"/>
        </w:rPr>
        <w:t xml:space="preserve">propuesta </w:t>
      </w:r>
      <w:r w:rsidRPr="002B7330">
        <w:rPr>
          <w:rFonts w:ascii="Verdana" w:eastAsia="Times New Roman" w:hAnsi="Verdana" w:cs="Times New Roman"/>
          <w:sz w:val="24"/>
          <w:szCs w:val="24"/>
          <w:lang w:val="es-ES"/>
        </w:rPr>
        <w:t xml:space="preserve">constituye una </w:t>
      </w:r>
      <w:r w:rsidRPr="002B7330">
        <w:rPr>
          <w:rFonts w:ascii="Verdana" w:eastAsia="Times New Roman" w:hAnsi="Verdana" w:cs="Times New Roman"/>
          <w:bCs/>
          <w:sz w:val="24"/>
          <w:szCs w:val="24"/>
          <w:lang w:val="es-ES"/>
        </w:rPr>
        <w:t>herramienta de apoyo a la planificación y ordenamiento territorial y ambiental</w:t>
      </w:r>
      <w:r w:rsidRPr="002B7330">
        <w:rPr>
          <w:rFonts w:ascii="Verdana" w:eastAsia="Times New Roman" w:hAnsi="Verdana" w:cs="Times New Roman"/>
          <w:sz w:val="24"/>
          <w:szCs w:val="24"/>
          <w:lang w:val="es-ES"/>
        </w:rPr>
        <w:t xml:space="preserve">, que resulta particularmente relevante para distintos actores. Para los municipios y departamentos, representa una base de información ambiental estratégica que puede ser utilizada en sus procesos de ordenamiento territorial y ambiental, planificación del desarrollo y definición de modelos de desarrollo basados en los servicios </w:t>
      </w:r>
      <w:proofErr w:type="spellStart"/>
      <w:r w:rsidRPr="002B7330">
        <w:rPr>
          <w:rFonts w:ascii="Verdana" w:eastAsia="Times New Roman" w:hAnsi="Verdana" w:cs="Times New Roman"/>
          <w:sz w:val="24"/>
          <w:szCs w:val="24"/>
          <w:lang w:val="es-ES"/>
        </w:rPr>
        <w:t>ecosistémicos</w:t>
      </w:r>
      <w:proofErr w:type="spellEnd"/>
      <w:r w:rsidRPr="002B7330">
        <w:rPr>
          <w:rFonts w:ascii="Verdana" w:eastAsia="Times New Roman" w:hAnsi="Verdana" w:cs="Times New Roman"/>
          <w:sz w:val="24"/>
          <w:szCs w:val="24"/>
          <w:lang w:val="es-ES"/>
        </w:rPr>
        <w:t xml:space="preserve"> del territorio, en armonía con los objetivos de sostenibilidad ambiental. Para las autoridades ambientales, aporta elementos técnicos para la gestión y planificación ambiental del territorio. Para las entidades </w:t>
      </w:r>
      <w:r w:rsidRPr="002B7330">
        <w:rPr>
          <w:rFonts w:ascii="Verdana" w:eastAsia="Times New Roman" w:hAnsi="Verdana" w:cs="Times New Roman"/>
          <w:sz w:val="24"/>
          <w:szCs w:val="24"/>
          <w:lang w:val="es-ES"/>
        </w:rPr>
        <w:lastRenderedPageBreak/>
        <w:t>del sector agropecuario, rural y de planeación, ofrece criterios que permiten articular políticas de acceso a tierras, desarrollo productivo y actividades productivas que se armonicen con la sostenibilidad ambiental. Y para las comunidades y organizaciones territoriales, constituye un referente informativo que puede fortalecer los procesos participativos, de gobernanza y la construcción colectiva de propuestas de ordenamiento y desarrollo sostenible en sus territorios.</w:t>
      </w:r>
    </w:p>
    <w:p w14:paraId="5D71286F"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rPr>
      </w:pPr>
      <w:r w:rsidRPr="002B7330">
        <w:rPr>
          <w:rFonts w:ascii="Verdana" w:eastAsia="Times New Roman" w:hAnsi="Verdana" w:cs="Times New Roman"/>
          <w:sz w:val="24"/>
          <w:szCs w:val="24"/>
          <w:lang w:val="es-ES_tradnl"/>
        </w:rPr>
        <w:t xml:space="preserve">No obstante, persisten brechas en la disponibilidad de información técnica integrada que permita a las entidades nacionales, autoridades ambientales y gobiernos territoriales tomar decisiones articuladas sobre el uso del suelo, la planificación territorial y la gestión ambiental. </w:t>
      </w:r>
      <w:r w:rsidRPr="002B7330">
        <w:rPr>
          <w:rFonts w:ascii="Verdana" w:eastAsia="Times New Roman" w:hAnsi="Verdana" w:cs="Times New Roman"/>
          <w:sz w:val="24"/>
          <w:szCs w:val="24"/>
        </w:rPr>
        <w:t>La ruta de cambio planteada en este acto administrativo se basa en la evidencia concreta derivada la implementación del Plan de Acción del Plan de Zonificación Ambiental, en la medida en que la información técnica producida ha sido utilizada efectivamente como insumo para la toma de decisiones en materia de ordenamiento territorial, gestión ambiental, gestión del territorio rural y orientación a iniciativas de derechos territoriales de comunidades campesinas.</w:t>
      </w:r>
    </w:p>
    <w:p w14:paraId="1671C6D8" w14:textId="7823D8CB"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rPr>
      </w:pPr>
      <w:r w:rsidRPr="002B7330">
        <w:rPr>
          <w:rFonts w:ascii="Verdana" w:eastAsia="Times New Roman" w:hAnsi="Verdana" w:cs="Times New Roman"/>
          <w:sz w:val="24"/>
          <w:szCs w:val="24"/>
        </w:rPr>
        <w:t>La Zonificación Ambiental Indicativa ha permitido fortalecer procesos de articulación interinstitucional entre el Ministerio de Ambiente y Desarrollo Sostenible, el Ministerio de Agricultura y Desarrollo Rural y la Agencia Nacional de Tierras y otras entidades del orden nacional alrededor de la garantía de alternativas de acceso y uso de la tierra</w:t>
      </w:r>
      <w:r w:rsidR="00523829" w:rsidRPr="002B7330">
        <w:rPr>
          <w:rFonts w:ascii="Verdana" w:eastAsia="Times New Roman" w:hAnsi="Verdana" w:cs="Times New Roman"/>
          <w:sz w:val="24"/>
          <w:szCs w:val="24"/>
        </w:rPr>
        <w:t xml:space="preserve">. Igualmente </w:t>
      </w:r>
      <w:r w:rsidR="00574ABA" w:rsidRPr="002B7330">
        <w:rPr>
          <w:rFonts w:ascii="Verdana" w:eastAsia="Times New Roman" w:hAnsi="Verdana" w:cs="Times New Roman"/>
          <w:sz w:val="24"/>
          <w:szCs w:val="24"/>
        </w:rPr>
        <w:t xml:space="preserve">ha permitido a </w:t>
      </w:r>
      <w:r w:rsidRPr="002B7330">
        <w:rPr>
          <w:rFonts w:ascii="Verdana" w:eastAsia="Times New Roman" w:hAnsi="Verdana" w:cs="Times New Roman"/>
          <w:sz w:val="24"/>
          <w:szCs w:val="24"/>
        </w:rPr>
        <w:t xml:space="preserve">municipios como San José del Guaviare, Calamar, El Retorno y Miraflores para el departamento del Guaviare; </w:t>
      </w:r>
      <w:proofErr w:type="spellStart"/>
      <w:r w:rsidRPr="002B7330">
        <w:rPr>
          <w:rFonts w:ascii="Verdana" w:eastAsia="Times New Roman" w:hAnsi="Verdana" w:cs="Times New Roman"/>
          <w:sz w:val="24"/>
          <w:szCs w:val="24"/>
        </w:rPr>
        <w:t>Mapiripán</w:t>
      </w:r>
      <w:proofErr w:type="spellEnd"/>
      <w:r w:rsidRPr="002B7330">
        <w:rPr>
          <w:rFonts w:ascii="Verdana" w:eastAsia="Times New Roman" w:hAnsi="Verdana" w:cs="Times New Roman"/>
          <w:sz w:val="24"/>
          <w:szCs w:val="24"/>
        </w:rPr>
        <w:t xml:space="preserve">, La Macarena, Uribe y Vistahermosa en el departamento del Meta; Puerto Rico, San Vicente del </w:t>
      </w:r>
      <w:proofErr w:type="spellStart"/>
      <w:r w:rsidRPr="002B7330">
        <w:rPr>
          <w:rFonts w:ascii="Verdana" w:eastAsia="Times New Roman" w:hAnsi="Verdana" w:cs="Times New Roman"/>
          <w:sz w:val="24"/>
          <w:szCs w:val="24"/>
        </w:rPr>
        <w:t>Caguán</w:t>
      </w:r>
      <w:proofErr w:type="spellEnd"/>
      <w:r w:rsidRPr="002B7330">
        <w:rPr>
          <w:rFonts w:ascii="Verdana" w:eastAsia="Times New Roman" w:hAnsi="Verdana" w:cs="Times New Roman"/>
          <w:sz w:val="24"/>
          <w:szCs w:val="24"/>
        </w:rPr>
        <w:t xml:space="preserve">, Cartagena del </w:t>
      </w:r>
      <w:proofErr w:type="spellStart"/>
      <w:r w:rsidRPr="002B7330">
        <w:rPr>
          <w:rFonts w:ascii="Verdana" w:eastAsia="Times New Roman" w:hAnsi="Verdana" w:cs="Times New Roman"/>
          <w:sz w:val="24"/>
          <w:szCs w:val="24"/>
        </w:rPr>
        <w:t>Chairá</w:t>
      </w:r>
      <w:proofErr w:type="spellEnd"/>
      <w:r w:rsidRPr="002B7330">
        <w:rPr>
          <w:rFonts w:ascii="Verdana" w:eastAsia="Times New Roman" w:hAnsi="Verdana" w:cs="Times New Roman"/>
          <w:sz w:val="24"/>
          <w:szCs w:val="24"/>
        </w:rPr>
        <w:t xml:space="preserve">, Solano, Albania, </w:t>
      </w:r>
      <w:proofErr w:type="spellStart"/>
      <w:r w:rsidRPr="002B7330">
        <w:rPr>
          <w:rFonts w:ascii="Verdana" w:eastAsia="Times New Roman" w:hAnsi="Verdana" w:cs="Times New Roman"/>
          <w:sz w:val="24"/>
          <w:szCs w:val="24"/>
        </w:rPr>
        <w:t>Curillo</w:t>
      </w:r>
      <w:proofErr w:type="spellEnd"/>
      <w:r w:rsidRPr="002B7330">
        <w:rPr>
          <w:rFonts w:ascii="Verdana" w:eastAsia="Times New Roman" w:hAnsi="Verdana" w:cs="Times New Roman"/>
          <w:sz w:val="24"/>
          <w:szCs w:val="24"/>
        </w:rPr>
        <w:t xml:space="preserve"> y Valparaíso en el departamento del Caquetá; y Puerto Guzmán y Puerto </w:t>
      </w:r>
      <w:proofErr w:type="spellStart"/>
      <w:r w:rsidRPr="002B7330">
        <w:rPr>
          <w:rFonts w:ascii="Verdana" w:eastAsia="Times New Roman" w:hAnsi="Verdana" w:cs="Times New Roman"/>
          <w:sz w:val="24"/>
          <w:szCs w:val="24"/>
        </w:rPr>
        <w:t>Leguizamo</w:t>
      </w:r>
      <w:proofErr w:type="spellEnd"/>
      <w:r w:rsidRPr="002B7330">
        <w:rPr>
          <w:rFonts w:ascii="Verdana" w:eastAsia="Times New Roman" w:hAnsi="Verdana" w:cs="Times New Roman"/>
          <w:sz w:val="24"/>
          <w:szCs w:val="24"/>
        </w:rPr>
        <w:t xml:space="preserve"> en el departamento de Putumayo, incorpora</w:t>
      </w:r>
      <w:r w:rsidR="00FD76B6" w:rsidRPr="002B7330">
        <w:rPr>
          <w:rFonts w:ascii="Verdana" w:eastAsia="Times New Roman" w:hAnsi="Verdana" w:cs="Times New Roman"/>
          <w:sz w:val="24"/>
          <w:szCs w:val="24"/>
        </w:rPr>
        <w:t xml:space="preserve">r la información derivada </w:t>
      </w:r>
      <w:r w:rsidR="000E2413" w:rsidRPr="002B7330">
        <w:rPr>
          <w:rFonts w:ascii="Verdana" w:eastAsia="Times New Roman" w:hAnsi="Verdana" w:cs="Times New Roman"/>
          <w:sz w:val="24"/>
          <w:szCs w:val="24"/>
        </w:rPr>
        <w:t xml:space="preserve">de la Zonificación Ambiental Indicativa </w:t>
      </w:r>
      <w:r w:rsidRPr="002B7330">
        <w:rPr>
          <w:rFonts w:ascii="Verdana" w:eastAsia="Times New Roman" w:hAnsi="Verdana" w:cs="Times New Roman"/>
          <w:sz w:val="24"/>
          <w:szCs w:val="24"/>
        </w:rPr>
        <w:t>en la formulación del componente rural de</w:t>
      </w:r>
      <w:r w:rsidR="00244A44" w:rsidRPr="002B7330">
        <w:rPr>
          <w:rFonts w:ascii="Verdana" w:eastAsia="Times New Roman" w:hAnsi="Verdana" w:cs="Times New Roman"/>
          <w:sz w:val="24"/>
          <w:szCs w:val="24"/>
        </w:rPr>
        <w:t xml:space="preserve"> sus </w:t>
      </w:r>
      <w:r w:rsidRPr="002B7330">
        <w:rPr>
          <w:rFonts w:ascii="Verdana" w:eastAsia="Times New Roman" w:hAnsi="Verdana" w:cs="Times New Roman"/>
          <w:sz w:val="24"/>
          <w:szCs w:val="24"/>
        </w:rPr>
        <w:t>instrumentos de ordenamiento territorial. Estos casos confirman que la disponibilidad y adopción de este tipo de herramientas facilita su uso por parte de las entidades territoriales, fortaleciendo los procesos de planificación y gestión del suelo con enfoque ambiental y de sostenibilidad territorial.</w:t>
      </w:r>
    </w:p>
    <w:p w14:paraId="0719903D" w14:textId="785377D8"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rPr>
      </w:pPr>
      <w:r w:rsidRPr="002B7330">
        <w:rPr>
          <w:rFonts w:ascii="Verdana" w:eastAsia="Times New Roman" w:hAnsi="Verdana" w:cs="Times New Roman"/>
          <w:sz w:val="24"/>
          <w:szCs w:val="24"/>
        </w:rPr>
        <w:t xml:space="preserve">Finalmente, la adopción mediante acto administrativo de la zonificación ambiental indicativa </w:t>
      </w:r>
      <w:r w:rsidR="00E76853" w:rsidRPr="002B7330">
        <w:rPr>
          <w:rFonts w:ascii="Verdana" w:eastAsia="Times New Roman" w:hAnsi="Verdana" w:cs="Times New Roman"/>
          <w:sz w:val="24"/>
          <w:szCs w:val="24"/>
        </w:rPr>
        <w:t xml:space="preserve">para estos </w:t>
      </w:r>
      <w:r w:rsidRPr="002B7330">
        <w:rPr>
          <w:rFonts w:ascii="Verdana" w:eastAsia="Times New Roman" w:hAnsi="Verdana" w:cs="Times New Roman"/>
          <w:sz w:val="24"/>
          <w:szCs w:val="24"/>
        </w:rPr>
        <w:t xml:space="preserve">385 municipios, permitirá avanzar en el cumplimiento de metas del Plan de Acción de Biodiversidad, </w:t>
      </w:r>
      <w:r w:rsidRPr="002B7330">
        <w:rPr>
          <w:rFonts w:ascii="Verdana" w:eastAsia="Times New Roman" w:hAnsi="Verdana" w:cs="Times New Roman"/>
          <w:sz w:val="24"/>
          <w:szCs w:val="24"/>
        </w:rPr>
        <w:lastRenderedPageBreak/>
        <w:t xml:space="preserve">particularmente aquellas relacionadas con los instrumentos de ordenamiento territorial y la </w:t>
      </w:r>
      <w:r w:rsidR="00E35856" w:rsidRPr="002B7330">
        <w:rPr>
          <w:rFonts w:ascii="Verdana" w:eastAsia="Times New Roman" w:hAnsi="Verdana" w:cs="Times New Roman"/>
          <w:sz w:val="24"/>
          <w:szCs w:val="24"/>
        </w:rPr>
        <w:t xml:space="preserve">gestión </w:t>
      </w:r>
      <w:r w:rsidRPr="002B7330">
        <w:rPr>
          <w:rFonts w:ascii="Verdana" w:eastAsia="Times New Roman" w:hAnsi="Verdana" w:cs="Times New Roman"/>
          <w:sz w:val="24"/>
          <w:szCs w:val="24"/>
        </w:rPr>
        <w:t xml:space="preserve">de Áreas de Especial Interés Ambiental. En conjunto, estos resultados demuestran que la disponibilidad, </w:t>
      </w:r>
      <w:r w:rsidR="003F0782" w:rsidRPr="002B7330">
        <w:rPr>
          <w:rFonts w:ascii="Verdana" w:eastAsia="Times New Roman" w:hAnsi="Verdana" w:cs="Times New Roman"/>
          <w:sz w:val="24"/>
          <w:szCs w:val="24"/>
        </w:rPr>
        <w:t xml:space="preserve">oficialización </w:t>
      </w:r>
      <w:r w:rsidRPr="002B7330">
        <w:rPr>
          <w:rFonts w:ascii="Verdana" w:eastAsia="Times New Roman" w:hAnsi="Verdana" w:cs="Times New Roman"/>
          <w:sz w:val="24"/>
          <w:szCs w:val="24"/>
        </w:rPr>
        <w:t>y uso de la Zonificación Ambiental Indicativa constituyen</w:t>
      </w:r>
      <w:r w:rsidR="001D28E1" w:rsidRPr="002B7330">
        <w:rPr>
          <w:rFonts w:ascii="Verdana" w:eastAsia="Times New Roman" w:hAnsi="Verdana" w:cs="Times New Roman"/>
          <w:sz w:val="24"/>
          <w:szCs w:val="24"/>
        </w:rPr>
        <w:t>,</w:t>
      </w:r>
      <w:r w:rsidRPr="002B7330">
        <w:rPr>
          <w:rFonts w:ascii="Verdana" w:eastAsia="Times New Roman" w:hAnsi="Verdana" w:cs="Times New Roman"/>
          <w:sz w:val="24"/>
          <w:szCs w:val="24"/>
        </w:rPr>
        <w:t xml:space="preserve"> un mecanismo efectivo para mejorar la planificación ambiental y orientar modelos de desarrollo rural sostenibles. </w:t>
      </w:r>
    </w:p>
    <w:p w14:paraId="3156A8B9" w14:textId="77777777" w:rsidR="00E37243" w:rsidRPr="002B7330" w:rsidRDefault="000F4B11" w:rsidP="000F4B11">
      <w:pPr>
        <w:shd w:val="clear" w:color="auto" w:fill="FFFFFF"/>
        <w:jc w:val="both"/>
        <w:textAlignment w:val="baseline"/>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En síntesis, la zonificación ambiental </w:t>
      </w:r>
      <w:r w:rsidR="001D28E1" w:rsidRPr="002B7330">
        <w:rPr>
          <w:rFonts w:ascii="Verdana" w:eastAsia="Times New Roman" w:hAnsi="Verdana" w:cs="Times New Roman"/>
          <w:sz w:val="24"/>
          <w:szCs w:val="24"/>
          <w:lang w:val="es-ES"/>
        </w:rPr>
        <w:t xml:space="preserve">a adoptar en el referido acto administrativo </w:t>
      </w:r>
      <w:r w:rsidRPr="002B7330">
        <w:rPr>
          <w:rFonts w:ascii="Verdana" w:eastAsia="Times New Roman" w:hAnsi="Verdana" w:cs="Times New Roman"/>
          <w:sz w:val="24"/>
          <w:szCs w:val="24"/>
          <w:lang w:val="es-ES"/>
        </w:rPr>
        <w:t xml:space="preserve">no es un instrumento normativo ni regulatorio, sino un </w:t>
      </w:r>
      <w:r w:rsidRPr="002B7330">
        <w:rPr>
          <w:rFonts w:ascii="Verdana" w:eastAsia="Times New Roman" w:hAnsi="Verdana" w:cs="Times New Roman"/>
          <w:bCs/>
          <w:sz w:val="24"/>
          <w:szCs w:val="24"/>
          <w:lang w:val="es-ES"/>
        </w:rPr>
        <w:t>instrumento complementario, indicativo y de carácter técnico</w:t>
      </w:r>
      <w:r w:rsidRPr="002B7330">
        <w:rPr>
          <w:rFonts w:ascii="Verdana" w:eastAsia="Times New Roman" w:hAnsi="Verdana" w:cs="Times New Roman"/>
          <w:sz w:val="24"/>
          <w:szCs w:val="24"/>
          <w:lang w:val="es-ES"/>
        </w:rPr>
        <w:t>, que surge del mandato del Acuerdo de Paz y de una metodología orientada a la integración de información ambiental a escala regional. Su propósito es aportar conocimiento, criterios y orientaciones que faciliten la planificación territorial y sectorial, sin imponer restricciones, sin modificar usos del suelo y sin generar obligaciones legales, respetando en todo momento el ordenamiento jurídico vigente y las competencias de las autoridades territoriales y ambientales.</w:t>
      </w:r>
    </w:p>
    <w:p w14:paraId="3D161B42" w14:textId="0F4E9BE6" w:rsidR="00C631E1" w:rsidRDefault="00C631E1" w:rsidP="00C631E1">
      <w:pPr>
        <w:shd w:val="clear" w:color="auto" w:fill="FFFFFF"/>
        <w:jc w:val="both"/>
        <w:textAlignment w:val="baseline"/>
        <w:rPr>
          <w:rFonts w:ascii="Verdana" w:eastAsia="Times New Roman" w:hAnsi="Verdana" w:cs="Times New Roman"/>
          <w:bCs/>
          <w:sz w:val="24"/>
          <w:szCs w:val="24"/>
          <w:lang w:val="es-ES"/>
        </w:rPr>
      </w:pPr>
      <w:r w:rsidRPr="002B7330">
        <w:rPr>
          <w:rFonts w:ascii="Verdana" w:eastAsia="Times New Roman" w:hAnsi="Verdana" w:cs="Times New Roman"/>
          <w:sz w:val="24"/>
          <w:szCs w:val="24"/>
          <w:lang w:val="es-ES"/>
        </w:rPr>
        <w:t>Soportados en las anteriores consideraciones, a</w:t>
      </w:r>
      <w:r w:rsidRPr="002B7330">
        <w:rPr>
          <w:rFonts w:ascii="Verdana" w:eastAsia="Times New Roman" w:hAnsi="Verdana" w:cs="Times New Roman"/>
          <w:bCs/>
          <w:sz w:val="24"/>
          <w:szCs w:val="24"/>
          <w:lang w:val="es-ES"/>
        </w:rPr>
        <w:t xml:space="preserve"> continuación</w:t>
      </w:r>
      <w:r>
        <w:rPr>
          <w:rFonts w:ascii="Verdana" w:eastAsia="Times New Roman" w:hAnsi="Verdana" w:cs="Times New Roman"/>
          <w:bCs/>
          <w:sz w:val="24"/>
          <w:szCs w:val="24"/>
          <w:lang w:val="es-ES"/>
        </w:rPr>
        <w:t>,</w:t>
      </w:r>
      <w:r w:rsidRPr="002B7330">
        <w:rPr>
          <w:rFonts w:ascii="Verdana" w:eastAsia="Times New Roman" w:hAnsi="Verdana" w:cs="Times New Roman"/>
          <w:bCs/>
          <w:sz w:val="24"/>
          <w:szCs w:val="24"/>
          <w:lang w:val="es-ES"/>
        </w:rPr>
        <w:t xml:space="preserve"> se dará respuesta puntual a cada uno de los comentarios recibidos, los cuales han sido agrupados de acuerdo con las temáticas generales correspondientes.</w:t>
      </w:r>
    </w:p>
    <w:p w14:paraId="55BF7DB3" w14:textId="7385AC7E" w:rsidR="00C631E1" w:rsidRDefault="004F456E" w:rsidP="00C631E1">
      <w:pPr>
        <w:shd w:val="clear" w:color="auto" w:fill="FFFFFF"/>
        <w:jc w:val="both"/>
        <w:textAlignment w:val="baseline"/>
        <w:rPr>
          <w:rFonts w:ascii="Verdana" w:eastAsia="Times New Roman" w:hAnsi="Verdana" w:cs="Times New Roman"/>
          <w:bCs/>
          <w:sz w:val="24"/>
          <w:szCs w:val="24"/>
          <w:lang w:val="es-ES"/>
        </w:rPr>
      </w:pPr>
      <w:r>
        <w:rPr>
          <w:rFonts w:ascii="Verdana" w:eastAsia="Times New Roman" w:hAnsi="Verdana" w:cs="Times New Roman"/>
          <w:bCs/>
          <w:sz w:val="24"/>
          <w:szCs w:val="24"/>
          <w:lang w:val="es-ES"/>
        </w:rPr>
        <w:t>Respecto a su recomendación de incluir</w:t>
      </w:r>
      <w:r w:rsidRPr="004F456E">
        <w:rPr>
          <w:rFonts w:ascii="Verdana" w:eastAsia="Times New Roman" w:hAnsi="Verdana" w:cs="Times New Roman"/>
          <w:bCs/>
          <w:sz w:val="24"/>
          <w:szCs w:val="24"/>
          <w:lang w:val="es-ES"/>
        </w:rPr>
        <w:t xml:space="preserve"> </w:t>
      </w:r>
      <w:r w:rsidRPr="004F456E">
        <w:rPr>
          <w:rFonts w:ascii="Verdana" w:eastAsia="Times New Roman" w:hAnsi="Verdana" w:cs="Times New Roman"/>
          <w:b/>
          <w:bCs/>
          <w:i/>
          <w:szCs w:val="24"/>
          <w:lang w:val="es-ES"/>
        </w:rPr>
        <w:t>“la definición, alcance y criterios de las nueve categorías ambientales utilizadas para la delimitación a escala 1:100.000. Contar con esta información contribuirá a que las partes interesadas y la ciudadanía comprendan con precisión las implicaciones, restricciones y usos asociados a cada categoría, fortaleciendo así el cumplimiento del objetivo</w:t>
      </w:r>
      <w:r>
        <w:rPr>
          <w:rFonts w:ascii="Verdana" w:eastAsia="Times New Roman" w:hAnsi="Verdana" w:cs="Times New Roman"/>
          <w:b/>
          <w:bCs/>
          <w:i/>
          <w:szCs w:val="24"/>
          <w:lang w:val="es-ES"/>
        </w:rPr>
        <w:t xml:space="preserve"> establecido en el artículo 3.7”.</w:t>
      </w:r>
    </w:p>
    <w:p w14:paraId="5C0FE77B" w14:textId="77777777" w:rsidR="004F456E" w:rsidRPr="002B7330" w:rsidRDefault="004F456E" w:rsidP="004F456E">
      <w:pPr>
        <w:spacing w:after="0" w:line="240" w:lineRule="auto"/>
        <w:jc w:val="both"/>
        <w:rPr>
          <w:rFonts w:ascii="Verdana" w:eastAsia="Times New Roman" w:hAnsi="Verdana"/>
          <w:sz w:val="24"/>
          <w:szCs w:val="24"/>
          <w:lang w:val="es-ES_tradnl" w:eastAsia="es-ES"/>
        </w:rPr>
      </w:pPr>
      <w:r w:rsidRPr="004F5C21">
        <w:rPr>
          <w:rFonts w:ascii="Verdana" w:eastAsia="Times New Roman" w:hAnsi="Verdana"/>
          <w:sz w:val="24"/>
          <w:szCs w:val="24"/>
          <w:lang w:val="es-ES_tradnl" w:eastAsia="es-ES"/>
        </w:rPr>
        <w:t xml:space="preserve">De acuerdo a la metodología de la Zonificación ambiental indicativa, las Áreas de Especial Interés Ambiental (AEIA) se clasifican de acuerdo con lo establecido en los respectivos planes de manejo vigentes y se agrupan en las categorías de Preservación, Conservación y Desarrollo Sostenible, y Restauración. En aquellos casos en los que el área no cuente con un plan de manejo, se aplica la categoría definida en el Plan de Zonificación Ambiental, conforme a lo dispuesto en la Tabla 9 del Documento Técnico de Soporte (DTS). En situaciones de superposición entre categorías, se aplica el criterio de jerarquía, según el cual la categoría de Preservación predomina sobre la de Conservación y Desarrollo Sostenible, y esta, a su vez, sobre la de Restauración. La metodología de clasificación empleada </w:t>
      </w:r>
      <w:r w:rsidRPr="004F5C21">
        <w:rPr>
          <w:rFonts w:ascii="Verdana" w:eastAsia="Times New Roman" w:hAnsi="Verdana"/>
          <w:sz w:val="24"/>
          <w:szCs w:val="24"/>
          <w:lang w:val="es-ES_tradnl" w:eastAsia="es-ES"/>
        </w:rPr>
        <w:lastRenderedPageBreak/>
        <w:t>se encuentra debidamente descrita en los documentos del Plan de Zonificación Ambiental (PZA), sin embargo</w:t>
      </w:r>
      <w:r>
        <w:rPr>
          <w:rFonts w:ascii="Verdana" w:eastAsia="Times New Roman" w:hAnsi="Verdana"/>
          <w:sz w:val="24"/>
          <w:szCs w:val="24"/>
          <w:lang w:val="es-ES_tradnl" w:eastAsia="es-ES"/>
        </w:rPr>
        <w:t>,</w:t>
      </w:r>
      <w:r w:rsidRPr="004F5C21">
        <w:rPr>
          <w:rFonts w:ascii="Verdana" w:eastAsia="Times New Roman" w:hAnsi="Verdana"/>
          <w:sz w:val="24"/>
          <w:szCs w:val="24"/>
          <w:lang w:val="es-ES_tradnl" w:eastAsia="es-ES"/>
        </w:rPr>
        <w:t xml:space="preserve"> se complementa en el DTS. Es importante precisar que dicha metodología no contempla la incorporación de información a nivel municipal.</w:t>
      </w:r>
    </w:p>
    <w:p w14:paraId="6930456E" w14:textId="7B61F5F2" w:rsidR="004F456E" w:rsidRDefault="004F456E" w:rsidP="004F456E">
      <w:pPr>
        <w:spacing w:after="0" w:line="240" w:lineRule="auto"/>
        <w:jc w:val="both"/>
        <w:rPr>
          <w:rFonts w:ascii="Verdana" w:eastAsia="Times New Roman" w:hAnsi="Verdana"/>
          <w:sz w:val="24"/>
          <w:szCs w:val="24"/>
          <w:lang w:val="es-ES_tradnl" w:eastAsia="es-ES"/>
        </w:rPr>
      </w:pPr>
    </w:p>
    <w:p w14:paraId="217C030D" w14:textId="088817EA" w:rsidR="004F456E" w:rsidRPr="002B7330" w:rsidRDefault="004F456E" w:rsidP="004F456E">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En atención a su requerimiento,</w:t>
      </w:r>
      <w:r>
        <w:rPr>
          <w:rFonts w:ascii="Verdana" w:eastAsia="Times New Roman" w:hAnsi="Verdana"/>
          <w:sz w:val="24"/>
          <w:szCs w:val="24"/>
          <w:lang w:val="es-ES_tradnl" w:eastAsia="es-ES"/>
        </w:rPr>
        <w:t xml:space="preserve"> </w:t>
      </w:r>
      <w:r w:rsidRPr="002B7330">
        <w:rPr>
          <w:rFonts w:ascii="Verdana" w:eastAsia="Times New Roman" w:hAnsi="Verdana"/>
          <w:sz w:val="24"/>
          <w:szCs w:val="24"/>
          <w:lang w:val="es-ES_tradnl" w:eastAsia="es-ES"/>
        </w:rPr>
        <w:t xml:space="preserve">se incluyen en el DTS los insumos cartográficos correspondientes a las dinámicas </w:t>
      </w:r>
      <w:proofErr w:type="spellStart"/>
      <w:r w:rsidRPr="002B7330">
        <w:rPr>
          <w:rFonts w:ascii="Verdana" w:eastAsia="Times New Roman" w:hAnsi="Verdana"/>
          <w:sz w:val="24"/>
          <w:szCs w:val="24"/>
          <w:lang w:val="es-ES_tradnl" w:eastAsia="es-ES"/>
        </w:rPr>
        <w:t>socioambientales</w:t>
      </w:r>
      <w:proofErr w:type="spellEnd"/>
      <w:r w:rsidRPr="002B7330">
        <w:rPr>
          <w:rFonts w:ascii="Verdana" w:eastAsia="Times New Roman" w:hAnsi="Verdana"/>
          <w:sz w:val="24"/>
          <w:szCs w:val="24"/>
          <w:lang w:val="es-ES_tradnl" w:eastAsia="es-ES"/>
        </w:rPr>
        <w:t xml:space="preserve"> y a las Áreas de Especial Interés Ambiental (AEIA), los insumos relacionados con la oferta de Servicios </w:t>
      </w:r>
      <w:proofErr w:type="spellStart"/>
      <w:r w:rsidRPr="002B7330">
        <w:rPr>
          <w:rFonts w:ascii="Verdana" w:eastAsia="Times New Roman" w:hAnsi="Verdana"/>
          <w:sz w:val="24"/>
          <w:szCs w:val="24"/>
          <w:lang w:val="es-ES_tradnl" w:eastAsia="es-ES"/>
        </w:rPr>
        <w:t>Ecosistémicos</w:t>
      </w:r>
      <w:proofErr w:type="spellEnd"/>
      <w:r w:rsidRPr="002B7330">
        <w:rPr>
          <w:rFonts w:ascii="Verdana" w:eastAsia="Times New Roman" w:hAnsi="Verdana"/>
          <w:sz w:val="24"/>
          <w:szCs w:val="24"/>
          <w:lang w:val="es-ES_tradnl" w:eastAsia="es-ES"/>
        </w:rPr>
        <w:t xml:space="preserve"> (SSEE); así como también la metodología de clasificación empleada. Es importante precisar que dicha metodología no contempla la incorporación de información a nivel municipal.</w:t>
      </w:r>
    </w:p>
    <w:p w14:paraId="782535AE" w14:textId="77777777" w:rsidR="004F456E" w:rsidRPr="002B7330" w:rsidRDefault="004F456E" w:rsidP="004F456E">
      <w:pPr>
        <w:spacing w:after="0" w:line="240" w:lineRule="auto"/>
        <w:jc w:val="both"/>
        <w:rPr>
          <w:rFonts w:ascii="Verdana" w:eastAsia="Times New Roman" w:hAnsi="Verdana"/>
          <w:sz w:val="24"/>
          <w:szCs w:val="24"/>
          <w:lang w:val="es-ES_tradnl" w:eastAsia="es-ES"/>
        </w:rPr>
      </w:pPr>
    </w:p>
    <w:p w14:paraId="7BE46E70" w14:textId="77777777" w:rsidR="004F456E" w:rsidRPr="002B7330" w:rsidRDefault="004F456E" w:rsidP="004F456E">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Se aclara que la presente resolución establece la zonificación ambiental únicamente para los 385 municipios allí señalados, y no para eventuales procesos de zonificación que se adelanten en otros municipios en el futuro. Dicha zonificación se encuentra en coherencia con los territorios priorizados establecidos en el Plan Nacional de Desarrollo.</w:t>
      </w:r>
    </w:p>
    <w:p w14:paraId="7F64E9E6" w14:textId="47B56EB2" w:rsidR="004F456E" w:rsidRDefault="004F456E" w:rsidP="00C631E1">
      <w:pPr>
        <w:shd w:val="clear" w:color="auto" w:fill="FFFFFF"/>
        <w:jc w:val="both"/>
        <w:textAlignment w:val="baseline"/>
        <w:rPr>
          <w:rFonts w:ascii="Verdana" w:eastAsia="Times New Roman" w:hAnsi="Verdana" w:cs="Times New Roman"/>
          <w:bCs/>
          <w:sz w:val="24"/>
          <w:szCs w:val="24"/>
          <w:lang w:val="es-ES_tradnl"/>
        </w:rPr>
      </w:pPr>
    </w:p>
    <w:p w14:paraId="080612F8" w14:textId="2B699177" w:rsidR="00C631E1" w:rsidRPr="00C631E1" w:rsidRDefault="00C631E1" w:rsidP="00C631E1">
      <w:pPr>
        <w:shd w:val="clear" w:color="auto" w:fill="FFFFFF"/>
        <w:jc w:val="both"/>
        <w:textAlignment w:val="baseline"/>
        <w:rPr>
          <w:rFonts w:ascii="Verdana" w:eastAsia="Times New Roman" w:hAnsi="Verdana" w:cs="Times New Roman"/>
          <w:b/>
          <w:bCs/>
          <w:sz w:val="24"/>
          <w:szCs w:val="24"/>
          <w:lang w:val="es-ES"/>
        </w:rPr>
      </w:pPr>
      <w:r w:rsidRPr="00C631E1">
        <w:rPr>
          <w:rFonts w:ascii="Verdana" w:eastAsia="Times New Roman" w:hAnsi="Verdana" w:cs="Times New Roman"/>
          <w:bCs/>
          <w:sz w:val="24"/>
          <w:szCs w:val="24"/>
          <w:lang w:val="es-ES"/>
        </w:rPr>
        <w:t>Frente a su inquietud respecto a la adopción de la escala 1:100.000, la cual</w:t>
      </w:r>
      <w:r w:rsidRPr="00C631E1">
        <w:rPr>
          <w:rFonts w:ascii="Verdana" w:eastAsia="Times New Roman" w:hAnsi="Verdana" w:cs="Times New Roman"/>
          <w:b/>
          <w:bCs/>
          <w:sz w:val="24"/>
          <w:szCs w:val="24"/>
          <w:lang w:val="es-ES"/>
        </w:rPr>
        <w:t xml:space="preserve"> </w:t>
      </w:r>
      <w:r w:rsidRPr="00C631E1">
        <w:rPr>
          <w:rFonts w:ascii="Verdana" w:eastAsia="Times New Roman" w:hAnsi="Verdana" w:cs="Times New Roman"/>
          <w:b/>
          <w:bCs/>
          <w:i/>
          <w:szCs w:val="24"/>
          <w:lang w:val="es-ES"/>
        </w:rPr>
        <w:t>“puede generar desafíos técnicos frente a los instrumentos de ordenamiento territorial y las zonificaciones locales existentes, especialmente aquellas formuladas en escalas más detalladas (como 1:2.500) por autoridades ambientales regionales y entidades territoriales. En varios de los municipios incluidos en el proyecto ya existen instrumentos vigentes con mayor nivel de precisión geográfica, lo que podría generar inconsistencias o dificultades de armonización”.</w:t>
      </w:r>
    </w:p>
    <w:p w14:paraId="4746EACC" w14:textId="69A20FC8" w:rsidR="00C631E1" w:rsidRDefault="00C631E1" w:rsidP="00C631E1">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 xml:space="preserve">En relación con la escala utilizada, se precisa que el lineamiento tiene como propósito brindar información inicial que permita orientar la construcción de acuerdos territoriales y el desarrollo de zonificaciones propias del territorio, de manera práctica y pertinente, con miras a promover transformaciones positivas en los conflictos </w:t>
      </w:r>
      <w:proofErr w:type="spellStart"/>
      <w:r w:rsidRPr="002B7330">
        <w:rPr>
          <w:rFonts w:ascii="Verdana" w:eastAsia="Times New Roman" w:hAnsi="Verdana"/>
          <w:sz w:val="24"/>
          <w:szCs w:val="24"/>
          <w:lang w:val="es-ES_tradnl" w:eastAsia="es-ES"/>
        </w:rPr>
        <w:t>socioambientales</w:t>
      </w:r>
      <w:proofErr w:type="spellEnd"/>
      <w:r w:rsidRPr="002B7330">
        <w:rPr>
          <w:rFonts w:ascii="Verdana" w:eastAsia="Times New Roman" w:hAnsi="Verdana"/>
          <w:sz w:val="24"/>
          <w:szCs w:val="24"/>
          <w:lang w:val="es-ES_tradnl" w:eastAsia="es-ES"/>
        </w:rPr>
        <w:t>. Lo anterior no excluye la posibilidad de avanzar, en etapas posteriores, en ejercicios de zonificación a una escala más detallada, de acuerdo con las particularidades y necesidades del territorio.</w:t>
      </w:r>
    </w:p>
    <w:p w14:paraId="094450E3" w14:textId="77777777" w:rsidR="004F456E" w:rsidRDefault="004F456E" w:rsidP="00C631E1">
      <w:pPr>
        <w:spacing w:after="0" w:line="240" w:lineRule="auto"/>
        <w:jc w:val="both"/>
        <w:rPr>
          <w:rFonts w:ascii="Verdana" w:eastAsia="Times New Roman" w:hAnsi="Verdana"/>
          <w:sz w:val="24"/>
          <w:szCs w:val="24"/>
          <w:lang w:val="es-ES_tradnl" w:eastAsia="es-ES"/>
        </w:rPr>
      </w:pPr>
    </w:p>
    <w:p w14:paraId="4EC386F7" w14:textId="26E79D9F" w:rsidR="004F456E" w:rsidRPr="002B7330" w:rsidRDefault="004F456E" w:rsidP="004F456E">
      <w:pPr>
        <w:spacing w:after="0" w:line="240" w:lineRule="auto"/>
        <w:jc w:val="both"/>
        <w:rPr>
          <w:rFonts w:ascii="Verdana" w:eastAsia="Times New Roman" w:hAnsi="Verdana"/>
          <w:sz w:val="24"/>
          <w:szCs w:val="24"/>
          <w:lang w:val="es-ES_tradnl" w:eastAsia="es-ES"/>
        </w:rPr>
      </w:pPr>
      <w:r>
        <w:rPr>
          <w:rFonts w:ascii="Verdana" w:eastAsia="Times New Roman" w:hAnsi="Verdana"/>
          <w:sz w:val="24"/>
          <w:szCs w:val="24"/>
          <w:lang w:val="es-ES_tradnl" w:eastAsia="es-ES"/>
        </w:rPr>
        <w:t>Se reitera, que l</w:t>
      </w:r>
      <w:r w:rsidRPr="002B7330">
        <w:rPr>
          <w:rFonts w:ascii="Verdana" w:eastAsia="Times New Roman" w:hAnsi="Verdana"/>
          <w:sz w:val="24"/>
          <w:szCs w:val="24"/>
          <w:lang w:val="es-ES_tradnl" w:eastAsia="es-ES"/>
        </w:rPr>
        <w:t xml:space="preserve">a zonificación ambiental aludida tiene un carácter </w:t>
      </w:r>
      <w:r w:rsidRPr="002B7330">
        <w:rPr>
          <w:rFonts w:ascii="Verdana" w:eastAsia="Times New Roman" w:hAnsi="Verdana"/>
          <w:b/>
          <w:bCs/>
          <w:sz w:val="24"/>
          <w:szCs w:val="24"/>
          <w:lang w:val="es-ES_tradnl" w:eastAsia="es-ES"/>
        </w:rPr>
        <w:t>estrictamente indicativo</w:t>
      </w:r>
      <w:r w:rsidRPr="002B7330">
        <w:rPr>
          <w:rFonts w:ascii="Verdana" w:eastAsia="Times New Roman" w:hAnsi="Verdana"/>
          <w:sz w:val="24"/>
          <w:szCs w:val="24"/>
          <w:lang w:val="es-ES_tradnl" w:eastAsia="es-ES"/>
        </w:rPr>
        <w:t xml:space="preserve">, en la medida en que constituye un ejercicio técnico de integración y análisis de información ambiental a escala regional, cuyo propósito es aportar criterios y orientaciones generales </w:t>
      </w:r>
      <w:r w:rsidRPr="002B7330">
        <w:rPr>
          <w:rFonts w:ascii="Verdana" w:eastAsia="Times New Roman" w:hAnsi="Verdana"/>
          <w:sz w:val="24"/>
          <w:szCs w:val="24"/>
          <w:lang w:val="es-ES_tradnl" w:eastAsia="es-ES"/>
        </w:rPr>
        <w:lastRenderedPageBreak/>
        <w:t>para la planificación y la toma de decisiones territoriales. En este sentido, la zonificación no asigna usos del suelo, no define actividades permitidas o prohibidas, ni constituye determinantes ambientales en los términos de la Ley 388 de 1997. Se trata de un insumo técnico que extrapola información ambiental oficial y de acceso público, el cual puede ser considerado por las autoridades competentes en el marco de sus procesos de planificación y ordenamiento territorial, sin sustituir los instrumentos normativos vigentes ni afectar la autonomía de los entes territoriales.</w:t>
      </w:r>
    </w:p>
    <w:p w14:paraId="3E1D9409" w14:textId="77777777" w:rsidR="004F456E" w:rsidRPr="002B7330" w:rsidRDefault="004F456E" w:rsidP="004F456E">
      <w:pPr>
        <w:spacing w:after="0" w:line="240" w:lineRule="auto"/>
        <w:jc w:val="both"/>
        <w:rPr>
          <w:rFonts w:ascii="Verdana" w:eastAsia="Times New Roman" w:hAnsi="Verdana"/>
          <w:sz w:val="24"/>
          <w:szCs w:val="24"/>
          <w:lang w:val="es-ES_tradnl" w:eastAsia="es-ES"/>
        </w:rPr>
      </w:pPr>
    </w:p>
    <w:p w14:paraId="0FC5031A" w14:textId="77777777" w:rsidR="004F456E" w:rsidRDefault="004F456E" w:rsidP="004F456E">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En coherencia con lo anterior, la zonificación ambiental indicativa no impone condiciones ni genera restricciones jurídicas, no modifica los usos del suelo vigentes ni las actividades que actualmente se desarrollan en el territorio, y no afecta situaciones jurídicas consolidadas ni derechos adquiridos. Así mismo, no crea obligaciones legales para los particulares ni para las autoridades, ni reemplaza los procedimientos administrativos establecidos en la normativa vigente. Los proyectos nuevos que eventualmente se pretendan desarrollar deberán sujetarse en todo caso a la legislación aplicable, incluyendo los trámites de licencias, permisos o autorizaciones ambientales correspondientes. En este marco, la zonificación ambiental se configura como un instrumento complementario y orientador, que puede ser utilizado por municipios, departamentos, autoridades ambientales y demás actores como base técnica para fortalecer la planificación territorial, sin efectos normativos directos ni vinculantes.</w:t>
      </w:r>
    </w:p>
    <w:p w14:paraId="2500FDFE" w14:textId="77777777" w:rsidR="004F456E" w:rsidRPr="002B7330" w:rsidRDefault="004F456E" w:rsidP="00C631E1">
      <w:pPr>
        <w:spacing w:after="0" w:line="240" w:lineRule="auto"/>
        <w:jc w:val="both"/>
        <w:rPr>
          <w:rFonts w:ascii="Verdana" w:eastAsia="Times New Roman" w:hAnsi="Verdana"/>
          <w:sz w:val="24"/>
          <w:szCs w:val="24"/>
          <w:lang w:val="es-ES_tradnl" w:eastAsia="es-ES"/>
        </w:rPr>
      </w:pPr>
    </w:p>
    <w:p w14:paraId="370BA68D" w14:textId="38880088" w:rsidR="00C631E1" w:rsidRPr="00C631E1" w:rsidRDefault="00C631E1" w:rsidP="00C631E1">
      <w:pPr>
        <w:spacing w:after="0" w:line="240" w:lineRule="auto"/>
        <w:jc w:val="both"/>
        <w:rPr>
          <w:rFonts w:ascii="Verdana" w:eastAsia="Times New Roman" w:hAnsi="Verdana"/>
          <w:sz w:val="24"/>
          <w:szCs w:val="24"/>
          <w:lang w:val="es-ES_tradnl" w:eastAsia="es-ES"/>
        </w:rPr>
      </w:pPr>
      <w:r>
        <w:rPr>
          <w:rFonts w:ascii="Verdana" w:eastAsia="Times New Roman" w:hAnsi="Verdana"/>
          <w:sz w:val="24"/>
          <w:szCs w:val="24"/>
          <w:lang w:val="es-ES_tradnl" w:eastAsia="es-ES"/>
        </w:rPr>
        <w:t xml:space="preserve">Respecto a su propuesta de </w:t>
      </w:r>
      <w:r w:rsidRPr="00C631E1">
        <w:rPr>
          <w:rFonts w:ascii="Verdana" w:eastAsia="Times New Roman" w:hAnsi="Verdana" w:cs="Times New Roman"/>
          <w:b/>
          <w:bCs/>
          <w:i/>
          <w:szCs w:val="24"/>
          <w:lang w:val="es-ES"/>
        </w:rPr>
        <w:t>“incorporar mecanismos de participación incidente y de coordinación interinstitucional que aseguren una implementación efectiva, transparente y coherente con los objetivos de sostenibilidad, seguridad alimentaria y desarrollo rural integral del territorio”</w:t>
      </w:r>
    </w:p>
    <w:p w14:paraId="00EDAB40" w14:textId="0962C8EA" w:rsidR="00C631E1" w:rsidRDefault="00C631E1" w:rsidP="00D9596E">
      <w:pPr>
        <w:spacing w:after="0" w:line="240" w:lineRule="auto"/>
        <w:jc w:val="both"/>
        <w:rPr>
          <w:rFonts w:ascii="Verdana" w:eastAsia="Times New Roman" w:hAnsi="Verdana"/>
          <w:sz w:val="24"/>
          <w:szCs w:val="24"/>
          <w:lang w:val="es-ES_tradnl" w:eastAsia="es-ES"/>
        </w:rPr>
      </w:pPr>
    </w:p>
    <w:p w14:paraId="11BD3876" w14:textId="24E7C3E1" w:rsidR="004F456E" w:rsidRPr="002B7330" w:rsidRDefault="004F456E" w:rsidP="004F456E">
      <w:pPr>
        <w:spacing w:after="0" w:line="240" w:lineRule="auto"/>
        <w:jc w:val="both"/>
        <w:rPr>
          <w:rFonts w:ascii="Verdana" w:eastAsia="Times New Roman" w:hAnsi="Verdana"/>
          <w:sz w:val="24"/>
          <w:szCs w:val="24"/>
          <w:lang w:val="es-ES_tradnl" w:eastAsia="es-ES"/>
        </w:rPr>
      </w:pPr>
      <w:r>
        <w:rPr>
          <w:rFonts w:ascii="Verdana" w:eastAsia="Times New Roman" w:hAnsi="Verdana"/>
          <w:sz w:val="24"/>
          <w:szCs w:val="24"/>
          <w:lang w:val="es-ES_tradnl" w:eastAsia="es-ES"/>
        </w:rPr>
        <w:t>L</w:t>
      </w:r>
      <w:r w:rsidRPr="002B7330">
        <w:rPr>
          <w:rFonts w:ascii="Verdana" w:eastAsia="Times New Roman" w:hAnsi="Verdana"/>
          <w:sz w:val="24"/>
          <w:szCs w:val="24"/>
          <w:lang w:val="es-ES_tradnl" w:eastAsia="es-ES"/>
        </w:rPr>
        <w:t>a metodología adoptada en la presente resolución proviene del Plan de Zonificación Ambiental (PZA), la cual fue objeto de un proceso de validación y concertación, del que también hicieron parte institutos de investigación como el Instituto Amazónico de Investigaciones Científicas – SINCHI, el Instituto de Investigación de Recursos Biológicos Alexander von Humboldt (</w:t>
      </w:r>
      <w:proofErr w:type="spellStart"/>
      <w:r w:rsidRPr="002B7330">
        <w:rPr>
          <w:rFonts w:ascii="Verdana" w:eastAsia="Times New Roman" w:hAnsi="Verdana"/>
          <w:sz w:val="24"/>
          <w:szCs w:val="24"/>
          <w:lang w:val="es-ES_tradnl" w:eastAsia="es-ES"/>
        </w:rPr>
        <w:t>IAvH</w:t>
      </w:r>
      <w:proofErr w:type="spellEnd"/>
      <w:r w:rsidRPr="002B7330">
        <w:rPr>
          <w:rFonts w:ascii="Verdana" w:eastAsia="Times New Roman" w:hAnsi="Verdana"/>
          <w:sz w:val="24"/>
          <w:szCs w:val="24"/>
          <w:lang w:val="es-ES_tradnl" w:eastAsia="es-ES"/>
        </w:rPr>
        <w:t xml:space="preserve">), el Instituto de Hidrología, Meteorología y Estudios Ambientales (IDEAM) y el Instituto de Investigaciones Ambientales del Pacífico (IIAP), así como con algunas Corporaciones Autónomas Regionales (CAR). Adicionalmente, la metodología fue socializada y concertada con la Asociación Nacional de Zonas de Reserva Campesina </w:t>
      </w:r>
      <w:r w:rsidRPr="002B7330">
        <w:rPr>
          <w:rFonts w:ascii="Verdana" w:eastAsia="Times New Roman" w:hAnsi="Verdana"/>
          <w:sz w:val="24"/>
          <w:szCs w:val="24"/>
          <w:lang w:val="es-ES_tradnl" w:eastAsia="es-ES"/>
        </w:rPr>
        <w:lastRenderedPageBreak/>
        <w:t xml:space="preserve">(ANZORC), con el Centro de Pensamiento y Diálogo Político – </w:t>
      </w:r>
      <w:proofErr w:type="spellStart"/>
      <w:r w:rsidRPr="002B7330">
        <w:rPr>
          <w:rFonts w:ascii="Verdana" w:eastAsia="Times New Roman" w:hAnsi="Verdana"/>
          <w:sz w:val="24"/>
          <w:szCs w:val="24"/>
          <w:lang w:val="es-ES_tradnl" w:eastAsia="es-ES"/>
        </w:rPr>
        <w:t>CesPaz</w:t>
      </w:r>
      <w:proofErr w:type="spellEnd"/>
      <w:r w:rsidRPr="002B7330">
        <w:rPr>
          <w:rFonts w:ascii="Verdana" w:eastAsia="Times New Roman" w:hAnsi="Verdana"/>
          <w:sz w:val="24"/>
          <w:szCs w:val="24"/>
          <w:lang w:val="es-ES_tradnl" w:eastAsia="es-ES"/>
        </w:rPr>
        <w:t>, con los Programas de Desarrollo con Enfoque Territorial (PDET/PATR) y con líderes de las comunidades en los territorios.</w:t>
      </w:r>
    </w:p>
    <w:p w14:paraId="2DC2691D" w14:textId="77777777" w:rsidR="004F456E" w:rsidRPr="002B7330" w:rsidRDefault="004F456E" w:rsidP="00D9596E">
      <w:pPr>
        <w:spacing w:after="0" w:line="240" w:lineRule="auto"/>
        <w:jc w:val="both"/>
        <w:rPr>
          <w:rFonts w:ascii="Verdana" w:eastAsia="Times New Roman" w:hAnsi="Verdana"/>
          <w:sz w:val="24"/>
          <w:szCs w:val="24"/>
          <w:lang w:val="es-ES_tradnl" w:eastAsia="es-ES"/>
        </w:rPr>
      </w:pPr>
    </w:p>
    <w:p w14:paraId="7CB8F6CE" w14:textId="51E64431" w:rsidR="008C1DE9" w:rsidRDefault="008C1DE9" w:rsidP="008C1DE9">
      <w:pPr>
        <w:spacing w:after="0" w:line="240" w:lineRule="auto"/>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Cordialmente,</w:t>
      </w:r>
    </w:p>
    <w:p w14:paraId="09D2EF89" w14:textId="203CE964" w:rsidR="00110946" w:rsidRDefault="00110946" w:rsidP="008C1DE9">
      <w:pPr>
        <w:spacing w:after="0" w:line="240" w:lineRule="auto"/>
        <w:rPr>
          <w:rFonts w:ascii="Verdana" w:eastAsia="Times New Roman" w:hAnsi="Verdana"/>
          <w:sz w:val="24"/>
          <w:szCs w:val="24"/>
          <w:lang w:val="es-ES_tradnl" w:eastAsia="es-ES"/>
        </w:rPr>
      </w:pPr>
    </w:p>
    <w:p w14:paraId="5BD26AAE" w14:textId="0439144A" w:rsidR="00110946" w:rsidRDefault="00110946" w:rsidP="008C1DE9">
      <w:pPr>
        <w:spacing w:after="0" w:line="240" w:lineRule="auto"/>
        <w:rPr>
          <w:rFonts w:ascii="Verdana" w:eastAsia="Times New Roman" w:hAnsi="Verdana"/>
          <w:sz w:val="24"/>
          <w:szCs w:val="24"/>
          <w:lang w:val="es-ES_tradnl" w:eastAsia="es-ES"/>
        </w:rPr>
      </w:pPr>
    </w:p>
    <w:p w14:paraId="1CCC20B8" w14:textId="77777777" w:rsidR="00110946" w:rsidRPr="002B7330" w:rsidRDefault="00110946" w:rsidP="008C1DE9">
      <w:pPr>
        <w:spacing w:after="0" w:line="240" w:lineRule="auto"/>
        <w:rPr>
          <w:rFonts w:ascii="Verdana" w:eastAsia="Times New Roman" w:hAnsi="Verdana"/>
          <w:sz w:val="24"/>
          <w:szCs w:val="24"/>
          <w:lang w:val="es-ES_tradnl" w:eastAsia="es-ES"/>
        </w:rPr>
      </w:pPr>
    </w:p>
    <w:p w14:paraId="4BCEE29D" w14:textId="77777777" w:rsidR="00FC490A" w:rsidRPr="00FC490A" w:rsidRDefault="00FC490A" w:rsidP="00FC490A">
      <w:pPr>
        <w:pStyle w:val="Sinespaciado"/>
        <w:rPr>
          <w:rFonts w:ascii="Verdana" w:eastAsia="Times New Roman" w:hAnsi="Verdana"/>
          <w:b/>
          <w:sz w:val="24"/>
          <w:szCs w:val="24"/>
          <w:lang w:val="es-ES_tradnl" w:eastAsia="es-ES"/>
        </w:rPr>
      </w:pPr>
      <w:r w:rsidRPr="00FC490A">
        <w:rPr>
          <w:rFonts w:ascii="Verdana" w:eastAsia="Times New Roman" w:hAnsi="Verdana"/>
          <w:b/>
          <w:sz w:val="24"/>
          <w:szCs w:val="24"/>
          <w:lang w:val="es-ES_tradnl" w:eastAsia="es-ES"/>
        </w:rPr>
        <w:t>JULIÁN DAVID PEÑA GÓMEZ</w:t>
      </w:r>
    </w:p>
    <w:p w14:paraId="5AD874E1" w14:textId="77777777" w:rsidR="00FC490A" w:rsidRPr="00FC490A" w:rsidRDefault="00FC490A" w:rsidP="00FC490A">
      <w:pPr>
        <w:pStyle w:val="Sinespaciado"/>
        <w:rPr>
          <w:rFonts w:ascii="Verdana" w:eastAsia="Times New Roman" w:hAnsi="Verdana"/>
          <w:b/>
          <w:sz w:val="24"/>
          <w:szCs w:val="24"/>
          <w:lang w:val="es-ES_tradnl" w:eastAsia="es-ES"/>
        </w:rPr>
      </w:pPr>
      <w:r w:rsidRPr="00FC490A">
        <w:rPr>
          <w:rFonts w:ascii="Verdana" w:eastAsia="Times New Roman" w:hAnsi="Verdana"/>
          <w:b/>
          <w:sz w:val="24"/>
          <w:szCs w:val="24"/>
          <w:lang w:val="es-ES_tradnl" w:eastAsia="es-ES"/>
        </w:rPr>
        <w:t>Director de Ordenamiento Ambiental Territorial y SINA.</w:t>
      </w:r>
    </w:p>
    <w:p w14:paraId="070FE685" w14:textId="77777777" w:rsidR="00FC490A" w:rsidRDefault="00FC490A" w:rsidP="00FC490A">
      <w:pPr>
        <w:pStyle w:val="Sinespaciado"/>
        <w:rPr>
          <w:sz w:val="16"/>
        </w:rPr>
      </w:pPr>
    </w:p>
    <w:p w14:paraId="13A34F80" w14:textId="2BCCC02B" w:rsidR="00FC490A" w:rsidRPr="00FC490A" w:rsidRDefault="00FC490A" w:rsidP="00FC490A">
      <w:pPr>
        <w:pStyle w:val="Sinespaciado"/>
        <w:rPr>
          <w:sz w:val="16"/>
        </w:rPr>
      </w:pPr>
      <w:r w:rsidRPr="00FC490A">
        <w:rPr>
          <w:sz w:val="16"/>
        </w:rPr>
        <w:t>Aprobó</w:t>
      </w:r>
      <w:r>
        <w:rPr>
          <w:sz w:val="16"/>
        </w:rPr>
        <w:t>: Luis Alfonso Sierra</w:t>
      </w:r>
      <w:r w:rsidR="00403D6C">
        <w:rPr>
          <w:sz w:val="16"/>
        </w:rPr>
        <w:t xml:space="preserve"> Castro</w:t>
      </w:r>
      <w:r>
        <w:rPr>
          <w:sz w:val="16"/>
        </w:rPr>
        <w:t xml:space="preserve">- </w:t>
      </w:r>
      <w:r w:rsidRPr="00FC490A">
        <w:rPr>
          <w:sz w:val="16"/>
        </w:rPr>
        <w:t xml:space="preserve"> </w:t>
      </w:r>
      <w:r w:rsidR="00403D6C">
        <w:rPr>
          <w:sz w:val="16"/>
        </w:rPr>
        <w:t xml:space="preserve">Coordinador Grupo de Ordenamiento de la </w:t>
      </w:r>
      <w:r w:rsidRPr="00FC490A">
        <w:rPr>
          <w:sz w:val="16"/>
        </w:rPr>
        <w:t>Dirección de Ordenamiento Ambiental Territorial y SINA</w:t>
      </w:r>
    </w:p>
    <w:p w14:paraId="7B2D91C0" w14:textId="6E159B77" w:rsidR="00FC490A" w:rsidRPr="00FC490A" w:rsidRDefault="00FC490A" w:rsidP="00FC490A">
      <w:pPr>
        <w:pStyle w:val="Sinespaciado"/>
        <w:rPr>
          <w:sz w:val="16"/>
        </w:rPr>
      </w:pPr>
      <w:r w:rsidRPr="00FC490A">
        <w:rPr>
          <w:sz w:val="16"/>
        </w:rPr>
        <w:t xml:space="preserve">Revisó: </w:t>
      </w:r>
      <w:r>
        <w:rPr>
          <w:sz w:val="16"/>
        </w:rPr>
        <w:t>Cesar David Rondón Díaz</w:t>
      </w:r>
      <w:r w:rsidRPr="00FC490A">
        <w:rPr>
          <w:sz w:val="16"/>
        </w:rPr>
        <w:t xml:space="preserve"> -Contratista Dirección de Ordenamiento Ambiental Territorial y SINA.</w:t>
      </w:r>
    </w:p>
    <w:p w14:paraId="1E3D720E" w14:textId="77777777" w:rsidR="00FC490A" w:rsidRPr="00FC490A" w:rsidRDefault="00FC490A" w:rsidP="00FC490A">
      <w:pPr>
        <w:pStyle w:val="Sinespaciado"/>
        <w:rPr>
          <w:sz w:val="16"/>
        </w:rPr>
      </w:pPr>
      <w:r w:rsidRPr="00FC490A">
        <w:rPr>
          <w:sz w:val="16"/>
        </w:rPr>
        <w:t>Fecha: 16/02/2026.</w:t>
      </w:r>
    </w:p>
    <w:p w14:paraId="00E8D0F7" w14:textId="77777777" w:rsidR="00110946" w:rsidRDefault="00110946" w:rsidP="00FC490A">
      <w:pPr>
        <w:tabs>
          <w:tab w:val="left" w:pos="4905"/>
        </w:tabs>
        <w:jc w:val="both"/>
        <w:rPr>
          <w:rFonts w:ascii="Verdana" w:eastAsia="Times New Roman" w:hAnsi="Verdana" w:cs="Arial"/>
          <w:color w:val="808080"/>
          <w:sz w:val="16"/>
          <w:szCs w:val="16"/>
          <w:lang w:val="es-ES_tradnl" w:eastAsia="es-ES"/>
        </w:rPr>
      </w:pPr>
    </w:p>
    <w:p w14:paraId="5FB2FD9B" w14:textId="6115158E" w:rsidR="00757B36" w:rsidRPr="00717BC1" w:rsidRDefault="008C1DE9" w:rsidP="00FC490A">
      <w:pPr>
        <w:tabs>
          <w:tab w:val="left" w:pos="4905"/>
        </w:tabs>
        <w:jc w:val="both"/>
      </w:pPr>
      <w:r w:rsidRPr="00B71D1E">
        <w:rPr>
          <w:rFonts w:ascii="Verdana" w:eastAsia="Times New Roman" w:hAnsi="Verdana" w:cs="Arial"/>
          <w:color w:val="808080"/>
          <w:sz w:val="16"/>
          <w:szCs w:val="16"/>
          <w:lang w:val="es-ES_tradnl" w:eastAsia="es-ES"/>
        </w:rPr>
        <w:t>Los arriba firmantes declaramos que hemos revisado el presente documento y lo encontramos ajustado a las normas y disposiciones legales y/o técnicas vigentes y, por lo tanto, bajo nuestra responsabilidad lo presentamos para la firma del Remitente</w:t>
      </w:r>
    </w:p>
    <w:sectPr w:rsidR="00757B36" w:rsidRPr="00717BC1" w:rsidSect="00726A3B">
      <w:headerReference w:type="default" r:id="rId8"/>
      <w:footerReference w:type="default" r:id="rId9"/>
      <w:pgSz w:w="12240" w:h="15840"/>
      <w:pgMar w:top="212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3FF94" w14:textId="77777777" w:rsidR="004B405E" w:rsidRDefault="004B405E" w:rsidP="00757B36">
      <w:pPr>
        <w:spacing w:after="0" w:line="240" w:lineRule="auto"/>
      </w:pPr>
      <w:r>
        <w:separator/>
      </w:r>
    </w:p>
  </w:endnote>
  <w:endnote w:type="continuationSeparator" w:id="0">
    <w:p w14:paraId="50B9265B" w14:textId="77777777" w:rsidR="004B405E" w:rsidRDefault="004B405E"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795CDCB7" w14:textId="5516D658" w:rsidR="0022254F" w:rsidRPr="003A3319" w:rsidRDefault="00D34D20" w:rsidP="0022254F">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6960650E">
                  <wp:simplePos x="0" y="0"/>
                  <wp:positionH relativeFrom="margin">
                    <wp:posOffset>-99060</wp:posOffset>
                  </wp:positionH>
                  <wp:positionV relativeFrom="paragraph">
                    <wp:posOffset>-202362</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7.8pt;margin-top:-15.95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" filled="f" stroked="f" strokeweight=".5pt">
                  <v:textbo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v:textbox>
                  <w10:wrap anchorx="margin"/>
                </v:shape>
              </w:pict>
            </mc:Fallback>
          </mc:AlternateContent>
        </w:r>
        <w:r w:rsidR="0022254F" w:rsidRPr="003A3319">
          <w:rPr>
            <w:rFonts w:ascii="Verdana" w:hAnsi="Verdana"/>
            <w:color w:val="000000"/>
            <w:sz w:val="18"/>
            <w:szCs w:val="18"/>
          </w:rPr>
          <w:t xml:space="preserve">Página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PAGE   \* MERGEFORMAT</w:instrText>
        </w:r>
        <w:r w:rsidR="0022254F" w:rsidRPr="003A3319">
          <w:rPr>
            <w:rFonts w:ascii="Verdana" w:hAnsi="Verdana"/>
            <w:color w:val="000000"/>
            <w:sz w:val="18"/>
            <w:szCs w:val="18"/>
          </w:rPr>
          <w:fldChar w:fldCharType="separate"/>
        </w:r>
        <w:r w:rsidR="004F456E">
          <w:rPr>
            <w:rFonts w:ascii="Verdana" w:hAnsi="Verdana"/>
            <w:noProof/>
            <w:color w:val="000000"/>
            <w:sz w:val="18"/>
            <w:szCs w:val="18"/>
          </w:rPr>
          <w:t>8</w:t>
        </w:r>
        <w:r w:rsidR="0022254F" w:rsidRPr="003A3319">
          <w:rPr>
            <w:rFonts w:ascii="Verdana" w:hAnsi="Verdana"/>
            <w:color w:val="000000"/>
            <w:sz w:val="18"/>
            <w:szCs w:val="18"/>
          </w:rPr>
          <w:fldChar w:fldCharType="end"/>
        </w:r>
        <w:r w:rsidR="0022254F" w:rsidRPr="003A3319">
          <w:rPr>
            <w:rFonts w:ascii="Verdana" w:hAnsi="Verdana"/>
            <w:color w:val="000000"/>
            <w:sz w:val="18"/>
            <w:szCs w:val="18"/>
          </w:rPr>
          <w:t xml:space="preserve"> |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NUMPAGES  \* Arabic  \* MERGEFORMAT</w:instrText>
        </w:r>
        <w:r w:rsidR="0022254F" w:rsidRPr="003A3319">
          <w:rPr>
            <w:rFonts w:ascii="Verdana" w:hAnsi="Verdana"/>
            <w:color w:val="000000"/>
            <w:sz w:val="18"/>
            <w:szCs w:val="18"/>
          </w:rPr>
          <w:fldChar w:fldCharType="separate"/>
        </w:r>
        <w:r w:rsidR="004F456E">
          <w:rPr>
            <w:rFonts w:ascii="Verdana" w:hAnsi="Verdana"/>
            <w:noProof/>
            <w:color w:val="000000"/>
            <w:sz w:val="18"/>
            <w:szCs w:val="18"/>
          </w:rPr>
          <w:t>8</w:t>
        </w:r>
        <w:r w:rsidR="0022254F" w:rsidRPr="003A3319">
          <w:rPr>
            <w:rFonts w:ascii="Verdana" w:hAnsi="Verdana"/>
            <w:color w:val="000000"/>
            <w:sz w:val="18"/>
            <w:szCs w:val="18"/>
          </w:rPr>
          <w:fldChar w:fldCharType="end"/>
        </w:r>
      </w:p>
      <w:p w14:paraId="2E27CAF7" w14:textId="0F41A7D3" w:rsidR="0022254F" w:rsidRPr="003A3319" w:rsidRDefault="004B405E" w:rsidP="0022254F">
        <w:pPr>
          <w:pStyle w:val="Piedepgina"/>
          <w:jc w:val="right"/>
          <w:rPr>
            <w:rFonts w:ascii="Verdana" w:hAnsi="Verdana"/>
            <w:color w:val="000000"/>
            <w:sz w:val="18"/>
            <w:szCs w:val="18"/>
          </w:rPr>
        </w:pPr>
      </w:p>
    </w:sdtContent>
  </w:sdt>
  <w:p w14:paraId="64D00525" w14:textId="140CFF39" w:rsidR="00EA4BE4" w:rsidRPr="003A3319" w:rsidRDefault="00EA4BE4" w:rsidP="00EA4BE4">
    <w:pPr>
      <w:pStyle w:val="Piedepgina"/>
      <w:jc w:val="right"/>
      <w:rPr>
        <w:rFonts w:ascii="Verdana" w:hAnsi="Verdana"/>
        <w:sz w:val="18"/>
        <w:szCs w:val="18"/>
      </w:rPr>
    </w:pPr>
    <w:r w:rsidRPr="003A3319">
      <w:rPr>
        <w:rFonts w:ascii="Verdana" w:hAnsi="Verdana"/>
        <w:sz w:val="18"/>
        <w:szCs w:val="18"/>
      </w:rPr>
      <w:t>F-E-SIG-</w:t>
    </w:r>
    <w:proofErr w:type="gramStart"/>
    <w:r w:rsidRPr="003A3319">
      <w:rPr>
        <w:rFonts w:ascii="Verdana" w:hAnsi="Verdana"/>
        <w:sz w:val="18"/>
        <w:szCs w:val="18"/>
      </w:rPr>
      <w:t>26:V</w:t>
    </w:r>
    <w:proofErr w:type="gramEnd"/>
    <w:r w:rsidRPr="003A3319">
      <w:rPr>
        <w:rFonts w:ascii="Verdana" w:hAnsi="Verdana"/>
        <w:sz w:val="18"/>
        <w:szCs w:val="18"/>
      </w:rPr>
      <w:t xml:space="preserve">7 </w:t>
    </w:r>
    <w:r w:rsidR="003A3319">
      <w:rPr>
        <w:rFonts w:ascii="Verdana" w:hAnsi="Verdana"/>
        <w:sz w:val="18"/>
        <w:szCs w:val="18"/>
      </w:rPr>
      <w:t>02-08-</w:t>
    </w:r>
    <w:r w:rsidRPr="003A3319">
      <w:rPr>
        <w:rFonts w:ascii="Verdana" w:hAnsi="Verdana"/>
        <w:sz w:val="18"/>
        <w:szCs w:val="18"/>
      </w:rPr>
      <w:t>2024</w:t>
    </w:r>
  </w:p>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1D76A" w14:textId="77777777" w:rsidR="004B405E" w:rsidRDefault="004B405E" w:rsidP="00757B36">
      <w:pPr>
        <w:spacing w:after="0" w:line="240" w:lineRule="auto"/>
      </w:pPr>
      <w:r>
        <w:separator/>
      </w:r>
    </w:p>
  </w:footnote>
  <w:footnote w:type="continuationSeparator" w:id="0">
    <w:p w14:paraId="36BD7D00" w14:textId="77777777" w:rsidR="004B405E" w:rsidRDefault="004B405E"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174FF380">
          <wp:simplePos x="0" y="0"/>
          <wp:positionH relativeFrom="page">
            <wp:posOffset>6674</wp:posOffset>
          </wp:positionH>
          <wp:positionV relativeFrom="paragraph">
            <wp:posOffset>-436231</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F13338D"/>
    <w:multiLevelType w:val="hybridMultilevel"/>
    <w:tmpl w:val="B4F81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170EFF"/>
    <w:multiLevelType w:val="hybridMultilevel"/>
    <w:tmpl w:val="B4F81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477AB0"/>
    <w:multiLevelType w:val="hybridMultilevel"/>
    <w:tmpl w:val="5DA88CFC"/>
    <w:lvl w:ilvl="0" w:tplc="FFFAB69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36"/>
    <w:rsid w:val="00017BC6"/>
    <w:rsid w:val="00062A95"/>
    <w:rsid w:val="00080DD3"/>
    <w:rsid w:val="000A598D"/>
    <w:rsid w:val="000A7DC7"/>
    <w:rsid w:val="000B0CA4"/>
    <w:rsid w:val="000C262E"/>
    <w:rsid w:val="000D1FF6"/>
    <w:rsid w:val="000E2413"/>
    <w:rsid w:val="000F4B11"/>
    <w:rsid w:val="00110946"/>
    <w:rsid w:val="0011447C"/>
    <w:rsid w:val="001B54DE"/>
    <w:rsid w:val="001D28E1"/>
    <w:rsid w:val="001D4DD8"/>
    <w:rsid w:val="001E2AD6"/>
    <w:rsid w:val="001F4294"/>
    <w:rsid w:val="00222535"/>
    <w:rsid w:val="0022254F"/>
    <w:rsid w:val="00236409"/>
    <w:rsid w:val="00244A44"/>
    <w:rsid w:val="002539B0"/>
    <w:rsid w:val="00255542"/>
    <w:rsid w:val="00256928"/>
    <w:rsid w:val="002607F4"/>
    <w:rsid w:val="0026797C"/>
    <w:rsid w:val="00290BE0"/>
    <w:rsid w:val="002B7330"/>
    <w:rsid w:val="002C5F90"/>
    <w:rsid w:val="002E7B9B"/>
    <w:rsid w:val="0030489C"/>
    <w:rsid w:val="00313415"/>
    <w:rsid w:val="003474A6"/>
    <w:rsid w:val="003537BC"/>
    <w:rsid w:val="0035634B"/>
    <w:rsid w:val="00373571"/>
    <w:rsid w:val="003A3319"/>
    <w:rsid w:val="003A4594"/>
    <w:rsid w:val="003F0782"/>
    <w:rsid w:val="00403D6C"/>
    <w:rsid w:val="00421F2C"/>
    <w:rsid w:val="00436E05"/>
    <w:rsid w:val="004479F7"/>
    <w:rsid w:val="00471049"/>
    <w:rsid w:val="004B1B52"/>
    <w:rsid w:val="004B405E"/>
    <w:rsid w:val="004C5D53"/>
    <w:rsid w:val="004D7900"/>
    <w:rsid w:val="004E2441"/>
    <w:rsid w:val="004F456E"/>
    <w:rsid w:val="004F5C21"/>
    <w:rsid w:val="00512E63"/>
    <w:rsid w:val="00523829"/>
    <w:rsid w:val="00553008"/>
    <w:rsid w:val="00574ABA"/>
    <w:rsid w:val="005B71ED"/>
    <w:rsid w:val="005D39CA"/>
    <w:rsid w:val="006166BF"/>
    <w:rsid w:val="0064339E"/>
    <w:rsid w:val="0065062A"/>
    <w:rsid w:val="0066033D"/>
    <w:rsid w:val="00665873"/>
    <w:rsid w:val="006703E9"/>
    <w:rsid w:val="00670A89"/>
    <w:rsid w:val="00703008"/>
    <w:rsid w:val="007125DE"/>
    <w:rsid w:val="00717BC1"/>
    <w:rsid w:val="00726A3B"/>
    <w:rsid w:val="007502CE"/>
    <w:rsid w:val="00750E40"/>
    <w:rsid w:val="007535A1"/>
    <w:rsid w:val="00757B36"/>
    <w:rsid w:val="007853E1"/>
    <w:rsid w:val="00786260"/>
    <w:rsid w:val="00816FEF"/>
    <w:rsid w:val="0082667D"/>
    <w:rsid w:val="00836AE4"/>
    <w:rsid w:val="008459F3"/>
    <w:rsid w:val="00853A5B"/>
    <w:rsid w:val="008A4082"/>
    <w:rsid w:val="008C1DE9"/>
    <w:rsid w:val="008D747C"/>
    <w:rsid w:val="00953EBD"/>
    <w:rsid w:val="00957CDF"/>
    <w:rsid w:val="00961AB8"/>
    <w:rsid w:val="0098792B"/>
    <w:rsid w:val="009E28CB"/>
    <w:rsid w:val="00A01A53"/>
    <w:rsid w:val="00A315F2"/>
    <w:rsid w:val="00A40837"/>
    <w:rsid w:val="00A820B5"/>
    <w:rsid w:val="00AA317A"/>
    <w:rsid w:val="00AC5A6A"/>
    <w:rsid w:val="00AC6CBE"/>
    <w:rsid w:val="00AE1859"/>
    <w:rsid w:val="00AE1CC7"/>
    <w:rsid w:val="00AF09C5"/>
    <w:rsid w:val="00B04F41"/>
    <w:rsid w:val="00B15D21"/>
    <w:rsid w:val="00BA6E8C"/>
    <w:rsid w:val="00BD2546"/>
    <w:rsid w:val="00C22CEE"/>
    <w:rsid w:val="00C5186C"/>
    <w:rsid w:val="00C631E1"/>
    <w:rsid w:val="00C7759C"/>
    <w:rsid w:val="00CB39E7"/>
    <w:rsid w:val="00CB6F08"/>
    <w:rsid w:val="00CD4526"/>
    <w:rsid w:val="00D13E17"/>
    <w:rsid w:val="00D16E9E"/>
    <w:rsid w:val="00D31E6F"/>
    <w:rsid w:val="00D34D20"/>
    <w:rsid w:val="00D84EE0"/>
    <w:rsid w:val="00D9596E"/>
    <w:rsid w:val="00DF02B8"/>
    <w:rsid w:val="00E35856"/>
    <w:rsid w:val="00E37243"/>
    <w:rsid w:val="00E75D37"/>
    <w:rsid w:val="00E76853"/>
    <w:rsid w:val="00E85718"/>
    <w:rsid w:val="00E97084"/>
    <w:rsid w:val="00E97EBE"/>
    <w:rsid w:val="00EA4BE4"/>
    <w:rsid w:val="00EB74EB"/>
    <w:rsid w:val="00F072BD"/>
    <w:rsid w:val="00F5298D"/>
    <w:rsid w:val="00FA1E58"/>
    <w:rsid w:val="00FC490A"/>
    <w:rsid w:val="00FD76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styleId="Textoennegrita">
    <w:name w:val="Strong"/>
    <w:basedOn w:val="Fuentedeprrafopredeter"/>
    <w:uiPriority w:val="22"/>
    <w:qFormat/>
    <w:rsid w:val="00836AE4"/>
    <w:rPr>
      <w:b/>
      <w:bCs/>
    </w:rPr>
  </w:style>
  <w:style w:type="character" w:styleId="Refdecomentario">
    <w:name w:val="annotation reference"/>
    <w:basedOn w:val="Fuentedeprrafopredeter"/>
    <w:uiPriority w:val="99"/>
    <w:semiHidden/>
    <w:unhideWhenUsed/>
    <w:rsid w:val="00836AE4"/>
    <w:rPr>
      <w:sz w:val="16"/>
      <w:szCs w:val="16"/>
    </w:rPr>
  </w:style>
  <w:style w:type="paragraph" w:styleId="Textocomentario">
    <w:name w:val="annotation text"/>
    <w:basedOn w:val="Normal"/>
    <w:link w:val="TextocomentarioCar"/>
    <w:uiPriority w:val="99"/>
    <w:unhideWhenUsed/>
    <w:rsid w:val="00836AE4"/>
    <w:pPr>
      <w:spacing w:line="240" w:lineRule="auto"/>
    </w:pPr>
    <w:rPr>
      <w:kern w:val="0"/>
      <w:sz w:val="20"/>
      <w:szCs w:val="20"/>
      <w14:ligatures w14:val="none"/>
    </w:rPr>
  </w:style>
  <w:style w:type="character" w:customStyle="1" w:styleId="TextocomentarioCar">
    <w:name w:val="Texto comentario Car"/>
    <w:basedOn w:val="Fuentedeprrafopredeter"/>
    <w:link w:val="Textocomentario"/>
    <w:uiPriority w:val="99"/>
    <w:rsid w:val="00836AE4"/>
    <w:rPr>
      <w:kern w:val="0"/>
      <w:sz w:val="20"/>
      <w:szCs w:val="20"/>
      <w14:ligatures w14:val="none"/>
    </w:rPr>
  </w:style>
  <w:style w:type="paragraph" w:styleId="Textodeglobo">
    <w:name w:val="Balloon Text"/>
    <w:basedOn w:val="Normal"/>
    <w:link w:val="TextodegloboCar"/>
    <w:uiPriority w:val="99"/>
    <w:semiHidden/>
    <w:unhideWhenUsed/>
    <w:rsid w:val="00836AE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6AE4"/>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786260"/>
    <w:rPr>
      <w:b/>
      <w:bCs/>
      <w:kern w:val="2"/>
      <w14:ligatures w14:val="standardContextual"/>
    </w:rPr>
  </w:style>
  <w:style w:type="character" w:customStyle="1" w:styleId="AsuntodelcomentarioCar">
    <w:name w:val="Asunto del comentario Car"/>
    <w:basedOn w:val="TextocomentarioCar"/>
    <w:link w:val="Asuntodelcomentario"/>
    <w:uiPriority w:val="99"/>
    <w:semiHidden/>
    <w:rsid w:val="00786260"/>
    <w:rPr>
      <w:b/>
      <w:bCs/>
      <w:kern w:val="0"/>
      <w:sz w:val="20"/>
      <w:szCs w:val="20"/>
      <w14:ligatures w14:val="none"/>
    </w:rPr>
  </w:style>
  <w:style w:type="paragraph" w:styleId="Sinespaciado">
    <w:name w:val="No Spacing"/>
    <w:uiPriority w:val="1"/>
    <w:qFormat/>
    <w:rsid w:val="00FC49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625068">
      <w:bodyDiv w:val="1"/>
      <w:marLeft w:val="0"/>
      <w:marRight w:val="0"/>
      <w:marTop w:val="0"/>
      <w:marBottom w:val="0"/>
      <w:divBdr>
        <w:top w:val="none" w:sz="0" w:space="0" w:color="auto"/>
        <w:left w:val="none" w:sz="0" w:space="0" w:color="auto"/>
        <w:bottom w:val="none" w:sz="0" w:space="0" w:color="auto"/>
        <w:right w:val="none" w:sz="0" w:space="0" w:color="auto"/>
      </w:divBdr>
      <w:divsChild>
        <w:div w:id="893852446">
          <w:marLeft w:val="0"/>
          <w:marRight w:val="0"/>
          <w:marTop w:val="0"/>
          <w:marBottom w:val="0"/>
          <w:divBdr>
            <w:top w:val="none" w:sz="0" w:space="0" w:color="auto"/>
            <w:left w:val="none" w:sz="0" w:space="0" w:color="auto"/>
            <w:bottom w:val="none" w:sz="0" w:space="0" w:color="auto"/>
            <w:right w:val="none" w:sz="0" w:space="0" w:color="auto"/>
          </w:divBdr>
        </w:div>
        <w:div w:id="1841920326">
          <w:marLeft w:val="0"/>
          <w:marRight w:val="0"/>
          <w:marTop w:val="0"/>
          <w:marBottom w:val="0"/>
          <w:divBdr>
            <w:top w:val="none" w:sz="0" w:space="0" w:color="auto"/>
            <w:left w:val="none" w:sz="0" w:space="0" w:color="auto"/>
            <w:bottom w:val="none" w:sz="0" w:space="0" w:color="auto"/>
            <w:right w:val="none" w:sz="0" w:space="0" w:color="auto"/>
          </w:divBdr>
        </w:div>
      </w:divsChild>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chalma.diazgranados@ccb.org.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2708</Words>
  <Characters>15439</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Lenovo</cp:lastModifiedBy>
  <cp:revision>4</cp:revision>
  <cp:lastPrinted>2023-05-07T17:22:00Z</cp:lastPrinted>
  <dcterms:created xsi:type="dcterms:W3CDTF">2026-02-19T16:06:00Z</dcterms:created>
  <dcterms:modified xsi:type="dcterms:W3CDTF">2026-02-19T16:26:00Z</dcterms:modified>
</cp:coreProperties>
</file>